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color w:val="auto"/>
          <w:spacing w:val="40"/>
          <w:sz w:val="30"/>
          <w:szCs w:val="30"/>
          <w:highlight w:val="none"/>
        </w:rPr>
      </w:pPr>
    </w:p>
    <w:p>
      <w:pPr>
        <w:rPr>
          <w:rFonts w:ascii="宋体" w:hAnsi="宋体" w:cs="宋体"/>
          <w:b/>
          <w:color w:val="auto"/>
          <w:spacing w:val="40"/>
          <w:sz w:val="30"/>
          <w:szCs w:val="30"/>
          <w:highlight w:val="none"/>
        </w:rPr>
      </w:pPr>
    </w:p>
    <w:p>
      <w:pPr>
        <w:jc w:val="center"/>
        <w:rPr>
          <w:rFonts w:ascii="宋体" w:hAnsi="宋体" w:cs="宋体"/>
          <w:b/>
          <w:color w:val="auto"/>
          <w:spacing w:val="40"/>
          <w:sz w:val="56"/>
          <w:szCs w:val="84"/>
          <w:highlight w:val="none"/>
        </w:rPr>
      </w:pPr>
    </w:p>
    <w:p>
      <w:pPr>
        <w:jc w:val="center"/>
        <w:rPr>
          <w:rFonts w:ascii="宋体" w:hAnsi="宋体" w:cs="宋体"/>
          <w:color w:val="auto"/>
          <w:spacing w:val="40"/>
          <w:sz w:val="52"/>
          <w:szCs w:val="84"/>
          <w:highlight w:val="none"/>
        </w:rPr>
      </w:pPr>
    </w:p>
    <w:p>
      <w:pPr>
        <w:spacing w:line="360" w:lineRule="auto"/>
        <w:jc w:val="center"/>
        <w:rPr>
          <w:rFonts w:hint="eastAsia" w:ascii="宋体" w:hAnsi="宋体" w:cs="宋体"/>
          <w:b/>
          <w:bCs/>
          <w:color w:val="auto"/>
          <w:kern w:val="13"/>
          <w:sz w:val="36"/>
          <w:szCs w:val="21"/>
          <w:highlight w:val="none"/>
          <w:lang w:eastAsia="zh-CN"/>
        </w:rPr>
      </w:pPr>
      <w:bookmarkStart w:id="0" w:name="OLE_LINK57"/>
      <w:r>
        <w:rPr>
          <w:rFonts w:hint="eastAsia" w:ascii="宋体" w:hAnsi="宋体" w:cs="宋体"/>
          <w:b/>
          <w:bCs/>
          <w:color w:val="auto"/>
          <w:kern w:val="13"/>
          <w:sz w:val="36"/>
          <w:szCs w:val="21"/>
          <w:highlight w:val="none"/>
          <w:lang w:eastAsia="zh-CN"/>
        </w:rPr>
        <w:t>从化区中医医院电子支气管内镜、检验</w:t>
      </w:r>
      <w:r>
        <w:rPr>
          <w:rFonts w:hint="eastAsia" w:ascii="宋体" w:hAnsi="宋体" w:cs="宋体"/>
          <w:b/>
          <w:bCs/>
          <w:color w:val="auto"/>
          <w:kern w:val="13"/>
          <w:sz w:val="36"/>
          <w:szCs w:val="21"/>
          <w:highlight w:val="none"/>
          <w:lang w:val="en-US" w:eastAsia="zh-CN"/>
        </w:rPr>
        <w:t>科</w:t>
      </w:r>
      <w:r>
        <w:rPr>
          <w:rFonts w:hint="eastAsia" w:ascii="宋体" w:hAnsi="宋体" w:cs="宋体"/>
          <w:b/>
          <w:bCs/>
          <w:color w:val="auto"/>
          <w:kern w:val="13"/>
          <w:sz w:val="36"/>
          <w:szCs w:val="21"/>
          <w:highlight w:val="none"/>
          <w:lang w:eastAsia="zh-CN"/>
        </w:rPr>
        <w:t>专用纯水机</w:t>
      </w:r>
    </w:p>
    <w:p>
      <w:pPr>
        <w:spacing w:line="360" w:lineRule="auto"/>
        <w:jc w:val="center"/>
        <w:rPr>
          <w:rFonts w:hint="eastAsia" w:ascii="宋体" w:hAnsi="宋体" w:cs="宋体"/>
          <w:b/>
          <w:bCs/>
          <w:color w:val="auto"/>
          <w:spacing w:val="40"/>
          <w:sz w:val="144"/>
          <w:szCs w:val="96"/>
          <w:highlight w:val="none"/>
          <w:lang w:eastAsia="zh-CN"/>
        </w:rPr>
      </w:pPr>
      <w:r>
        <w:rPr>
          <w:rFonts w:hint="eastAsia" w:ascii="宋体" w:hAnsi="宋体" w:cs="宋体"/>
          <w:b/>
          <w:bCs/>
          <w:color w:val="auto"/>
          <w:kern w:val="13"/>
          <w:sz w:val="36"/>
          <w:szCs w:val="21"/>
          <w:highlight w:val="none"/>
          <w:lang w:val="en-US" w:eastAsia="zh-CN"/>
        </w:rPr>
        <w:t>采购项目</w:t>
      </w:r>
    </w:p>
    <w:bookmarkEnd w:id="0"/>
    <w:p>
      <w:pPr>
        <w:jc w:val="center"/>
        <w:rPr>
          <w:rFonts w:hint="eastAsia" w:ascii="宋体" w:hAnsi="宋体" w:cs="宋体"/>
          <w:b/>
          <w:color w:val="auto"/>
          <w:spacing w:val="40"/>
          <w:sz w:val="96"/>
          <w:szCs w:val="84"/>
          <w:highlight w:val="none"/>
          <w:lang w:eastAsia="zh-CN"/>
        </w:rPr>
      </w:pPr>
    </w:p>
    <w:p>
      <w:pPr>
        <w:jc w:val="center"/>
        <w:rPr>
          <w:rFonts w:hint="eastAsia" w:ascii="宋体" w:hAnsi="宋体" w:eastAsia="宋体" w:cs="宋体"/>
          <w:b/>
          <w:color w:val="auto"/>
          <w:sz w:val="96"/>
          <w:szCs w:val="84"/>
          <w:highlight w:val="none"/>
          <w:lang w:eastAsia="zh-CN"/>
        </w:rPr>
      </w:pPr>
      <w:r>
        <w:rPr>
          <w:rFonts w:hint="eastAsia" w:ascii="宋体" w:hAnsi="宋体" w:cs="宋体"/>
          <w:b/>
          <w:color w:val="auto"/>
          <w:spacing w:val="40"/>
          <w:sz w:val="96"/>
          <w:szCs w:val="84"/>
          <w:highlight w:val="none"/>
          <w:lang w:eastAsia="zh-CN"/>
        </w:rPr>
        <w:t>院内磋商文件</w:t>
      </w:r>
    </w:p>
    <w:p>
      <w:pPr>
        <w:rPr>
          <w:rFonts w:ascii="宋体" w:hAnsi="宋体" w:cs="宋体"/>
          <w:color w:val="auto"/>
          <w:highlight w:val="none"/>
        </w:rPr>
      </w:pPr>
    </w:p>
    <w:p>
      <w:pPr>
        <w:rPr>
          <w:rFonts w:ascii="宋体" w:hAnsi="宋体" w:cs="宋体"/>
          <w:color w:val="auto"/>
          <w:sz w:val="52"/>
          <w:highlight w:val="none"/>
        </w:rPr>
      </w:pPr>
    </w:p>
    <w:p>
      <w:pPr>
        <w:rPr>
          <w:rFonts w:ascii="宋体" w:hAnsi="宋体" w:cs="宋体"/>
          <w:color w:val="auto"/>
          <w:sz w:val="32"/>
          <w:highlight w:val="none"/>
        </w:rPr>
      </w:pPr>
    </w:p>
    <w:p>
      <w:pPr>
        <w:pStyle w:val="58"/>
        <w:ind w:left="0" w:leftChars="0" w:firstLine="0" w:firstLineChars="0"/>
      </w:pPr>
    </w:p>
    <w:p>
      <w:pPr>
        <w:ind w:firstLine="2704" w:firstLineChars="845"/>
        <w:rPr>
          <w:rFonts w:ascii="宋体" w:hAnsi="宋体" w:cs="宋体"/>
          <w:color w:val="auto"/>
          <w:sz w:val="32"/>
          <w:highlight w:val="none"/>
        </w:rPr>
      </w:pPr>
    </w:p>
    <w:p>
      <w:pPr>
        <w:spacing w:line="360" w:lineRule="auto"/>
        <w:ind w:firstLine="1928" w:firstLineChars="600"/>
        <w:rPr>
          <w:rFonts w:ascii="宋体" w:hAnsi="宋体" w:cs="宋体"/>
          <w:b/>
          <w:bCs/>
          <w:color w:val="auto"/>
          <w:kern w:val="13"/>
          <w:sz w:val="32"/>
          <w:szCs w:val="32"/>
          <w:highlight w:val="none"/>
        </w:rPr>
      </w:pPr>
      <w:r>
        <w:rPr>
          <w:rFonts w:hint="eastAsia" w:ascii="宋体" w:hAnsi="宋体" w:cs="宋体"/>
          <w:b/>
          <w:bCs/>
          <w:color w:val="auto"/>
          <w:kern w:val="13"/>
          <w:sz w:val="32"/>
          <w:szCs w:val="32"/>
          <w:highlight w:val="none"/>
        </w:rPr>
        <w:t>采 购 人：</w:t>
      </w:r>
      <w:r>
        <w:rPr>
          <w:color w:val="auto"/>
          <w:highlight w:val="none"/>
        </w:rPr>
        <w:fldChar w:fldCharType="begin"/>
      </w:r>
      <w:r>
        <w:rPr>
          <w:color w:val="auto"/>
          <w:highlight w:val="none"/>
        </w:rPr>
        <w:instrText xml:space="preserve"> HYPERLINK "https://www.qcc.com/firm/19KJC9T.shtml" \t "https://www.qcc.com/_blank" </w:instrText>
      </w:r>
      <w:r>
        <w:rPr>
          <w:color w:val="auto"/>
          <w:highlight w:val="none"/>
        </w:rPr>
        <w:fldChar w:fldCharType="separate"/>
      </w:r>
      <w:r>
        <w:rPr>
          <w:rFonts w:hint="eastAsia" w:ascii="宋体" w:hAnsi="宋体" w:cs="宋体"/>
          <w:b/>
          <w:bCs/>
          <w:color w:val="auto"/>
          <w:kern w:val="13"/>
          <w:sz w:val="32"/>
          <w:szCs w:val="32"/>
          <w:highlight w:val="none"/>
          <w:lang w:eastAsia="zh-CN"/>
        </w:rPr>
        <w:t>广州市从化区中医医院</w:t>
      </w:r>
      <w:r>
        <w:rPr>
          <w:rFonts w:hint="eastAsia" w:ascii="宋体" w:hAnsi="宋体" w:cs="宋体"/>
          <w:b/>
          <w:bCs/>
          <w:color w:val="auto"/>
          <w:kern w:val="13"/>
          <w:sz w:val="32"/>
          <w:szCs w:val="32"/>
          <w:highlight w:val="none"/>
        </w:rPr>
        <w:fldChar w:fldCharType="end"/>
      </w:r>
    </w:p>
    <w:p>
      <w:pPr>
        <w:spacing w:line="360" w:lineRule="auto"/>
        <w:jc w:val="center"/>
        <w:rPr>
          <w:rFonts w:hAnsi="宋体" w:cs="宋体"/>
          <w:b/>
          <w:color w:val="auto"/>
          <w:sz w:val="28"/>
          <w:szCs w:val="28"/>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bookmarkStart w:id="1" w:name="OLE_LINK1"/>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4</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9</w:t>
      </w:r>
      <w:r>
        <w:rPr>
          <w:rFonts w:hint="eastAsia" w:ascii="宋体" w:hAnsi="宋体" w:cs="宋体"/>
          <w:b/>
          <w:bCs/>
          <w:color w:val="auto"/>
          <w:kern w:val="13"/>
          <w:sz w:val="32"/>
          <w:highlight w:val="none"/>
        </w:rPr>
        <w:t>月</w:t>
      </w:r>
      <w:bookmarkStart w:id="2" w:name="_Toc175644811"/>
      <w:bookmarkStart w:id="3" w:name="_Toc134956113"/>
      <w:bookmarkStart w:id="4" w:name="_Toc134956025"/>
      <w:bookmarkStart w:id="5" w:name="_Toc134955399"/>
      <w:bookmarkStart w:id="6" w:name="_Toc118083894"/>
      <w:bookmarkStart w:id="7" w:name="_Toc98579589"/>
      <w:bookmarkStart w:id="8" w:name="_Toc98580272"/>
      <w:bookmarkStart w:id="9" w:name="_Toc98579048"/>
      <w:bookmarkStart w:id="10" w:name="_Toc127930770"/>
      <w:bookmarkStart w:id="11" w:name="_Toc98578990"/>
    </w:p>
    <w:bookmarkEnd w:id="1"/>
    <w:p>
      <w:pPr>
        <w:pStyle w:val="38"/>
        <w:ind w:left="0" w:leftChars="0" w:firstLine="0" w:firstLineChars="0"/>
        <w:rPr>
          <w:rFonts w:ascii="宋体"/>
          <w:color w:val="auto"/>
          <w:szCs w:val="21"/>
          <w:highlight w:val="none"/>
        </w:rPr>
      </w:pPr>
    </w:p>
    <w:p>
      <w:pPr>
        <w:pStyle w:val="5"/>
        <w:spacing w:before="0" w:after="0" w:line="480" w:lineRule="auto"/>
        <w:jc w:val="center"/>
        <w:rPr>
          <w:rFonts w:hint="eastAsia" w:ascii="宋体" w:hAnsi="宋体" w:cs="宋体"/>
          <w:color w:val="auto"/>
          <w:sz w:val="44"/>
          <w:szCs w:val="44"/>
          <w:highlight w:val="none"/>
        </w:rPr>
      </w:pPr>
      <w:bookmarkStart w:id="12" w:name="_Toc4835"/>
      <w:bookmarkStart w:id="13" w:name="_Toc4417"/>
      <w:bookmarkStart w:id="14" w:name="_Toc13894"/>
      <w:r>
        <w:rPr>
          <w:rFonts w:hint="eastAsia" w:hAnsi="宋体" w:cs="宋体"/>
          <w:b/>
          <w:color w:val="auto"/>
          <w:sz w:val="44"/>
          <w:szCs w:val="44"/>
          <w:highlight w:val="none"/>
        </w:rPr>
        <w:t>目  录</w:t>
      </w:r>
      <w:bookmarkEnd w:id="2"/>
      <w:bookmarkEnd w:id="3"/>
      <w:bookmarkEnd w:id="4"/>
      <w:bookmarkEnd w:id="5"/>
      <w:bookmarkEnd w:id="6"/>
      <w:bookmarkEnd w:id="12"/>
      <w:bookmarkEnd w:id="13"/>
      <w:bookmarkEnd w:id="14"/>
      <w:bookmarkStart w:id="15" w:name="_Toc10570"/>
      <w:r>
        <w:rPr>
          <w:rFonts w:hint="eastAsia" w:ascii="宋体" w:hAnsi="宋体" w:cs="宋体"/>
          <w:color w:val="auto"/>
          <w:sz w:val="44"/>
          <w:szCs w:val="44"/>
          <w:highlight w:val="none"/>
        </w:rPr>
        <w:t xml:space="preserve"> </w:t>
      </w:r>
      <w:bookmarkEnd w:id="7"/>
      <w:bookmarkEnd w:id="8"/>
      <w:bookmarkEnd w:id="9"/>
      <w:bookmarkEnd w:id="10"/>
      <w:bookmarkEnd w:id="11"/>
      <w:bookmarkEnd w:id="15"/>
    </w:p>
    <w:p>
      <w:pPr>
        <w:rPr>
          <w:rFonts w:hint="eastAsia" w:ascii="宋体" w:hAnsi="宋体" w:cs="宋体"/>
          <w:color w:val="auto"/>
          <w:sz w:val="28"/>
          <w:szCs w:val="28"/>
          <w:highlight w:val="none"/>
        </w:rPr>
      </w:pPr>
    </w:p>
    <w:p>
      <w:pPr>
        <w:pStyle w:val="33"/>
        <w:tabs>
          <w:tab w:val="right" w:leader="dot" w:pos="9638"/>
          <w:tab w:val="clear" w:pos="9402"/>
        </w:tabs>
        <w:rPr>
          <w:b/>
          <w:bCs/>
          <w:sz w:val="28"/>
          <w:szCs w:val="24"/>
        </w:rPr>
      </w:pPr>
      <w:bookmarkStart w:id="16" w:name="OLE_LINK53"/>
      <w:r>
        <w:fldChar w:fldCharType="begin"/>
      </w:r>
      <w:r>
        <w:instrText xml:space="preserve">TOC \o "1-1" \h \u </w:instrText>
      </w:r>
      <w:r>
        <w:fldChar w:fldCharType="separate"/>
      </w:r>
      <w:r>
        <w:rPr>
          <w:b/>
          <w:bCs/>
          <w:sz w:val="28"/>
          <w:szCs w:val="24"/>
        </w:rPr>
        <w:fldChar w:fldCharType="begin"/>
      </w:r>
      <w:r>
        <w:rPr>
          <w:b/>
          <w:bCs/>
          <w:sz w:val="28"/>
          <w:szCs w:val="24"/>
        </w:rPr>
        <w:instrText xml:space="preserve"> HYPERLINK \l _Toc21628 </w:instrText>
      </w:r>
      <w:r>
        <w:rPr>
          <w:b/>
          <w:bCs/>
          <w:sz w:val="28"/>
          <w:szCs w:val="24"/>
        </w:rPr>
        <w:fldChar w:fldCharType="separate"/>
      </w:r>
      <w:r>
        <w:rPr>
          <w:rFonts w:hint="eastAsia" w:ascii="宋体" w:hAnsi="宋体" w:cs="宋体"/>
          <w:b/>
          <w:bCs/>
          <w:sz w:val="28"/>
          <w:szCs w:val="40"/>
          <w:highlight w:val="none"/>
        </w:rPr>
        <w:t>报价邀请</w:t>
      </w:r>
      <w:r>
        <w:rPr>
          <w:rFonts w:hint="eastAsia" w:ascii="宋体" w:hAnsi="宋体" w:cs="宋体"/>
          <w:b/>
          <w:bCs/>
          <w:sz w:val="28"/>
          <w:szCs w:val="40"/>
          <w:highlight w:val="none"/>
          <w:lang w:val="en-US" w:eastAsia="zh-CN"/>
        </w:rPr>
        <w:t>函</w:t>
      </w:r>
      <w:r>
        <w:rPr>
          <w:b/>
          <w:bCs/>
          <w:sz w:val="28"/>
          <w:szCs w:val="24"/>
        </w:rPr>
        <w:tab/>
      </w:r>
      <w:r>
        <w:rPr>
          <w:b/>
          <w:bCs/>
          <w:sz w:val="28"/>
          <w:szCs w:val="24"/>
        </w:rPr>
        <w:fldChar w:fldCharType="begin"/>
      </w:r>
      <w:r>
        <w:rPr>
          <w:b/>
          <w:bCs/>
          <w:sz w:val="28"/>
          <w:szCs w:val="24"/>
        </w:rPr>
        <w:instrText xml:space="preserve"> PAGEREF _Toc21628 \h </w:instrText>
      </w:r>
      <w:r>
        <w:rPr>
          <w:b/>
          <w:bCs/>
          <w:sz w:val="28"/>
          <w:szCs w:val="24"/>
        </w:rPr>
        <w:fldChar w:fldCharType="separate"/>
      </w:r>
      <w:r>
        <w:rPr>
          <w:b/>
          <w:bCs/>
          <w:sz w:val="28"/>
          <w:szCs w:val="24"/>
        </w:rPr>
        <w:t>2</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_Toc13906 </w:instrText>
      </w:r>
      <w:r>
        <w:rPr>
          <w:b/>
          <w:bCs/>
          <w:sz w:val="28"/>
          <w:szCs w:val="24"/>
        </w:rPr>
        <w:fldChar w:fldCharType="separate"/>
      </w:r>
      <w:r>
        <w:rPr>
          <w:rFonts w:hint="eastAsia" w:ascii="宋体" w:hAnsi="宋体" w:cs="宋体"/>
          <w:b/>
          <w:bCs/>
          <w:sz w:val="28"/>
          <w:szCs w:val="40"/>
          <w:highlight w:val="none"/>
        </w:rPr>
        <w:t>第一章 供应商须知</w:t>
      </w:r>
      <w:r>
        <w:rPr>
          <w:b/>
          <w:bCs/>
          <w:sz w:val="28"/>
          <w:szCs w:val="24"/>
        </w:rPr>
        <w:tab/>
      </w:r>
      <w:r>
        <w:rPr>
          <w:b/>
          <w:bCs/>
          <w:sz w:val="28"/>
          <w:szCs w:val="24"/>
        </w:rPr>
        <w:fldChar w:fldCharType="begin"/>
      </w:r>
      <w:r>
        <w:rPr>
          <w:b/>
          <w:bCs/>
          <w:sz w:val="28"/>
          <w:szCs w:val="24"/>
        </w:rPr>
        <w:instrText xml:space="preserve"> PAGEREF _Toc13906 \h </w:instrText>
      </w:r>
      <w:r>
        <w:rPr>
          <w:b/>
          <w:bCs/>
          <w:sz w:val="28"/>
          <w:szCs w:val="24"/>
        </w:rPr>
        <w:fldChar w:fldCharType="separate"/>
      </w:r>
      <w:r>
        <w:rPr>
          <w:b/>
          <w:bCs/>
          <w:sz w:val="28"/>
          <w:szCs w:val="24"/>
        </w:rPr>
        <w:t>4</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_Toc22113 </w:instrText>
      </w:r>
      <w:r>
        <w:rPr>
          <w:b/>
          <w:bCs/>
          <w:sz w:val="28"/>
          <w:szCs w:val="24"/>
        </w:rPr>
        <w:fldChar w:fldCharType="separate"/>
      </w:r>
      <w:r>
        <w:rPr>
          <w:rFonts w:hint="eastAsia" w:ascii="宋体" w:hAnsi="宋体" w:eastAsia="宋体" w:cs="宋体"/>
          <w:b/>
          <w:bCs/>
          <w:kern w:val="44"/>
          <w:sz w:val="28"/>
          <w:szCs w:val="40"/>
          <w:highlight w:val="none"/>
          <w:lang w:val="en-US" w:eastAsia="zh-CN" w:bidi="ar-SA"/>
        </w:rPr>
        <w:t>第二章 采购人需求</w:t>
      </w:r>
      <w:r>
        <w:rPr>
          <w:b/>
          <w:bCs/>
          <w:sz w:val="28"/>
          <w:szCs w:val="24"/>
        </w:rPr>
        <w:tab/>
      </w:r>
      <w:r>
        <w:rPr>
          <w:b/>
          <w:bCs/>
          <w:sz w:val="28"/>
          <w:szCs w:val="24"/>
        </w:rPr>
        <w:fldChar w:fldCharType="begin"/>
      </w:r>
      <w:r>
        <w:rPr>
          <w:b/>
          <w:bCs/>
          <w:sz w:val="28"/>
          <w:szCs w:val="24"/>
        </w:rPr>
        <w:instrText xml:space="preserve"> PAGEREF _Toc22113 \h </w:instrText>
      </w:r>
      <w:r>
        <w:rPr>
          <w:b/>
          <w:bCs/>
          <w:sz w:val="28"/>
          <w:szCs w:val="24"/>
        </w:rPr>
        <w:fldChar w:fldCharType="separate"/>
      </w:r>
      <w:r>
        <w:rPr>
          <w:b/>
          <w:bCs/>
          <w:sz w:val="28"/>
          <w:szCs w:val="24"/>
        </w:rPr>
        <w:t>6</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_Toc14640 </w:instrText>
      </w:r>
      <w:r>
        <w:rPr>
          <w:b/>
          <w:bCs/>
          <w:sz w:val="28"/>
          <w:szCs w:val="24"/>
        </w:rPr>
        <w:fldChar w:fldCharType="separate"/>
      </w:r>
      <w:r>
        <w:rPr>
          <w:rFonts w:hint="eastAsia" w:ascii="宋体" w:hAnsi="宋体" w:cs="宋体"/>
          <w:b/>
          <w:bCs/>
          <w:sz w:val="28"/>
          <w:szCs w:val="40"/>
          <w:highlight w:val="none"/>
        </w:rPr>
        <w:t>第三章 合同格式</w:t>
      </w:r>
      <w:r>
        <w:rPr>
          <w:b/>
          <w:bCs/>
          <w:sz w:val="28"/>
          <w:szCs w:val="24"/>
        </w:rPr>
        <w:tab/>
      </w:r>
      <w:r>
        <w:rPr>
          <w:b/>
          <w:bCs/>
          <w:sz w:val="28"/>
          <w:szCs w:val="24"/>
        </w:rPr>
        <w:fldChar w:fldCharType="begin"/>
      </w:r>
      <w:r>
        <w:rPr>
          <w:b/>
          <w:bCs/>
          <w:sz w:val="28"/>
          <w:szCs w:val="24"/>
        </w:rPr>
        <w:instrText xml:space="preserve"> PAGEREF _Toc14640 \h </w:instrText>
      </w:r>
      <w:r>
        <w:rPr>
          <w:b/>
          <w:bCs/>
          <w:sz w:val="28"/>
          <w:szCs w:val="24"/>
        </w:rPr>
        <w:fldChar w:fldCharType="separate"/>
      </w:r>
      <w:r>
        <w:rPr>
          <w:b/>
          <w:bCs/>
          <w:sz w:val="28"/>
          <w:szCs w:val="24"/>
        </w:rPr>
        <w:t>10</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_Toc19646 </w:instrText>
      </w:r>
      <w:r>
        <w:rPr>
          <w:b/>
          <w:bCs/>
          <w:sz w:val="28"/>
          <w:szCs w:val="24"/>
        </w:rPr>
        <w:fldChar w:fldCharType="separate"/>
      </w:r>
      <w:r>
        <w:rPr>
          <w:rFonts w:hint="eastAsia" w:ascii="宋体" w:hAnsi="宋体" w:cs="宋体"/>
          <w:b/>
          <w:bCs/>
          <w:sz w:val="28"/>
          <w:szCs w:val="40"/>
          <w:highlight w:val="none"/>
        </w:rPr>
        <w:t>第</w:t>
      </w:r>
      <w:r>
        <w:rPr>
          <w:rFonts w:hint="eastAsia" w:ascii="宋体" w:hAnsi="宋体" w:cs="宋体"/>
          <w:b/>
          <w:bCs/>
          <w:sz w:val="28"/>
          <w:szCs w:val="40"/>
          <w:highlight w:val="none"/>
          <w:lang w:val="en-US" w:eastAsia="zh-CN"/>
        </w:rPr>
        <w:t>四</w:t>
      </w:r>
      <w:r>
        <w:rPr>
          <w:rFonts w:hint="eastAsia" w:ascii="宋体" w:hAnsi="宋体" w:cs="宋体"/>
          <w:b/>
          <w:bCs/>
          <w:sz w:val="28"/>
          <w:szCs w:val="40"/>
          <w:highlight w:val="none"/>
        </w:rPr>
        <w:t xml:space="preserve">章 </w:t>
      </w:r>
      <w:r>
        <w:rPr>
          <w:rFonts w:hint="eastAsia" w:ascii="宋体" w:hAnsi="宋体" w:cs="宋体"/>
          <w:b/>
          <w:bCs/>
          <w:sz w:val="28"/>
          <w:szCs w:val="40"/>
          <w:highlight w:val="none"/>
          <w:lang w:val="en-US" w:eastAsia="zh-CN"/>
        </w:rPr>
        <w:t>评分方法</w:t>
      </w:r>
      <w:r>
        <w:rPr>
          <w:b/>
          <w:bCs/>
          <w:sz w:val="28"/>
          <w:szCs w:val="24"/>
        </w:rPr>
        <w:tab/>
      </w:r>
      <w:r>
        <w:rPr>
          <w:b/>
          <w:bCs/>
          <w:sz w:val="28"/>
          <w:szCs w:val="24"/>
        </w:rPr>
        <w:fldChar w:fldCharType="begin"/>
      </w:r>
      <w:r>
        <w:rPr>
          <w:b/>
          <w:bCs/>
          <w:sz w:val="28"/>
          <w:szCs w:val="24"/>
        </w:rPr>
        <w:instrText xml:space="preserve"> PAGEREF _Toc19646 \h </w:instrText>
      </w:r>
      <w:r>
        <w:rPr>
          <w:b/>
          <w:bCs/>
          <w:sz w:val="28"/>
          <w:szCs w:val="24"/>
        </w:rPr>
        <w:fldChar w:fldCharType="separate"/>
      </w:r>
      <w:r>
        <w:rPr>
          <w:b/>
          <w:bCs/>
          <w:sz w:val="28"/>
          <w:szCs w:val="24"/>
        </w:rPr>
        <w:t>16</w:t>
      </w:r>
      <w:r>
        <w:rPr>
          <w:b/>
          <w:bCs/>
          <w:sz w:val="28"/>
          <w:szCs w:val="24"/>
        </w:rPr>
        <w:fldChar w:fldCharType="end"/>
      </w:r>
      <w:r>
        <w:rPr>
          <w:b/>
          <w:bCs/>
          <w:sz w:val="28"/>
          <w:szCs w:val="24"/>
        </w:rPr>
        <w:fldChar w:fldCharType="end"/>
      </w:r>
    </w:p>
    <w:p>
      <w:pPr>
        <w:pStyle w:val="33"/>
        <w:tabs>
          <w:tab w:val="right" w:leader="dot" w:pos="9638"/>
          <w:tab w:val="clear" w:pos="9402"/>
        </w:tabs>
        <w:rPr>
          <w:b/>
          <w:bCs/>
          <w:sz w:val="28"/>
          <w:szCs w:val="24"/>
        </w:rPr>
      </w:pPr>
      <w:r>
        <w:rPr>
          <w:b/>
          <w:bCs/>
          <w:sz w:val="28"/>
          <w:szCs w:val="24"/>
        </w:rPr>
        <w:fldChar w:fldCharType="begin"/>
      </w:r>
      <w:r>
        <w:rPr>
          <w:b/>
          <w:bCs/>
          <w:sz w:val="28"/>
          <w:szCs w:val="24"/>
        </w:rPr>
        <w:instrText xml:space="preserve"> HYPERLINK \l _Toc3924 </w:instrText>
      </w:r>
      <w:r>
        <w:rPr>
          <w:b/>
          <w:bCs/>
          <w:sz w:val="28"/>
          <w:szCs w:val="24"/>
        </w:rPr>
        <w:fldChar w:fldCharType="separate"/>
      </w:r>
      <w:r>
        <w:rPr>
          <w:rFonts w:hint="eastAsia" w:ascii="宋体" w:hAnsi="宋体" w:cs="宋体"/>
          <w:b/>
          <w:bCs/>
          <w:sz w:val="28"/>
          <w:szCs w:val="40"/>
          <w:highlight w:val="none"/>
        </w:rPr>
        <w:t>第五章 响应文件</w:t>
      </w:r>
      <w:r>
        <w:rPr>
          <w:rFonts w:hint="eastAsia" w:ascii="宋体" w:hAnsi="宋体" w:cs="宋体"/>
          <w:b/>
          <w:bCs/>
          <w:sz w:val="28"/>
          <w:szCs w:val="40"/>
          <w:highlight w:val="none"/>
          <w:lang w:val="en-US" w:eastAsia="zh-CN"/>
        </w:rPr>
        <w:t>要求</w:t>
      </w:r>
      <w:r>
        <w:rPr>
          <w:b/>
          <w:bCs/>
          <w:sz w:val="28"/>
          <w:szCs w:val="24"/>
        </w:rPr>
        <w:tab/>
      </w:r>
      <w:r>
        <w:rPr>
          <w:b/>
          <w:bCs/>
          <w:sz w:val="28"/>
          <w:szCs w:val="24"/>
        </w:rPr>
        <w:fldChar w:fldCharType="begin"/>
      </w:r>
      <w:r>
        <w:rPr>
          <w:b/>
          <w:bCs/>
          <w:sz w:val="28"/>
          <w:szCs w:val="24"/>
        </w:rPr>
        <w:instrText xml:space="preserve"> PAGEREF _Toc3924 \h </w:instrText>
      </w:r>
      <w:r>
        <w:rPr>
          <w:b/>
          <w:bCs/>
          <w:sz w:val="28"/>
          <w:szCs w:val="24"/>
        </w:rPr>
        <w:fldChar w:fldCharType="separate"/>
      </w:r>
      <w:r>
        <w:rPr>
          <w:b/>
          <w:bCs/>
          <w:sz w:val="28"/>
          <w:szCs w:val="24"/>
        </w:rPr>
        <w:t>18</w:t>
      </w:r>
      <w:r>
        <w:rPr>
          <w:b/>
          <w:bCs/>
          <w:sz w:val="28"/>
          <w:szCs w:val="24"/>
        </w:rPr>
        <w:fldChar w:fldCharType="end"/>
      </w:r>
      <w:r>
        <w:rPr>
          <w:b/>
          <w:bCs/>
          <w:sz w:val="28"/>
          <w:szCs w:val="24"/>
        </w:rPr>
        <w:fldChar w:fldCharType="end"/>
      </w:r>
    </w:p>
    <w:p>
      <w:pPr>
        <w:pStyle w:val="2"/>
        <w:ind w:left="0" w:leftChars="0" w:firstLine="0" w:firstLineChars="0"/>
        <w:sectPr>
          <w:headerReference r:id="rId8" w:type="default"/>
          <w:footerReference r:id="rId9" w:type="default"/>
          <w:pgSz w:w="11906" w:h="16838"/>
          <w:pgMar w:top="1440" w:right="1134" w:bottom="1440" w:left="1134" w:header="851" w:footer="992" w:gutter="0"/>
          <w:pgNumType w:fmt="decimal" w:start="1"/>
          <w:cols w:space="425" w:num="1"/>
          <w:docGrid w:type="lines" w:linePitch="312" w:charSpace="0"/>
        </w:sectPr>
      </w:pPr>
      <w:r>
        <w:fldChar w:fldCharType="end"/>
      </w:r>
      <w:bookmarkEnd w:id="16"/>
      <w:bookmarkStart w:id="388" w:name="_GoBack"/>
      <w:bookmarkEnd w:id="388"/>
    </w:p>
    <w:p>
      <w:pPr>
        <w:pStyle w:val="5"/>
        <w:spacing w:before="0" w:after="0" w:line="480" w:lineRule="auto"/>
        <w:jc w:val="center"/>
        <w:outlineLvl w:val="0"/>
        <w:rPr>
          <w:rFonts w:hint="eastAsia" w:ascii="宋体" w:hAnsi="宋体" w:eastAsia="宋体" w:cs="宋体"/>
          <w:color w:val="auto"/>
          <w:sz w:val="32"/>
          <w:szCs w:val="32"/>
          <w:highlight w:val="none"/>
          <w:lang w:val="en-US" w:eastAsia="zh-CN"/>
        </w:rPr>
      </w:pPr>
      <w:bookmarkStart w:id="17" w:name="_Toc4961_WPSOffice_Level1"/>
      <w:bookmarkStart w:id="18" w:name="_Toc29606"/>
      <w:bookmarkStart w:id="19" w:name="_Toc24671"/>
      <w:bookmarkStart w:id="20" w:name="_Toc18430"/>
      <w:bookmarkStart w:id="21" w:name="_Toc21628"/>
      <w:r>
        <w:rPr>
          <w:rFonts w:hint="eastAsia" w:ascii="宋体" w:hAnsi="宋体" w:cs="宋体"/>
          <w:color w:val="auto"/>
          <w:sz w:val="32"/>
          <w:szCs w:val="32"/>
          <w:highlight w:val="none"/>
        </w:rPr>
        <w:t>报价邀请</w:t>
      </w:r>
      <w:r>
        <w:rPr>
          <w:rFonts w:hint="eastAsia" w:ascii="宋体" w:hAnsi="宋体" w:cs="宋体"/>
          <w:color w:val="auto"/>
          <w:sz w:val="32"/>
          <w:szCs w:val="32"/>
          <w:highlight w:val="none"/>
          <w:lang w:val="en-US" w:eastAsia="zh-CN"/>
        </w:rPr>
        <w:t>函</w:t>
      </w:r>
      <w:bookmarkEnd w:id="17"/>
      <w:bookmarkEnd w:id="18"/>
      <w:bookmarkEnd w:id="19"/>
      <w:bookmarkEnd w:id="20"/>
      <w:bookmarkEnd w:id="21"/>
    </w:p>
    <w:p>
      <w:pPr>
        <w:keepNext w:val="0"/>
        <w:keepLines w:val="0"/>
        <w:pageBreakBefore w:val="0"/>
        <w:kinsoku/>
        <w:wordWrap/>
        <w:overflowPunct/>
        <w:topLinePunct w:val="0"/>
        <w:bidi w:val="0"/>
        <w:adjustRightInd/>
        <w:snapToGrid/>
        <w:spacing w:line="360" w:lineRule="auto"/>
        <w:ind w:firstLine="472" w:firstLineChars="225"/>
        <w:jc w:val="both"/>
        <w:textAlignment w:val="auto"/>
        <w:outlineLvl w:val="9"/>
        <w:rPr>
          <w:rFonts w:hint="eastAsia" w:asciiTheme="minorEastAsia" w:hAnsiTheme="minorEastAsia" w:eastAsiaTheme="minorEastAsia" w:cstheme="minorEastAsia"/>
          <w:color w:val="auto"/>
          <w:sz w:val="21"/>
          <w:szCs w:val="21"/>
          <w:highlight w:val="none"/>
        </w:rPr>
      </w:pPr>
      <w:bookmarkStart w:id="22" w:name="OLE_LINK70"/>
      <w:r>
        <w:rPr>
          <w:rFonts w:hint="eastAsia" w:asciiTheme="minorEastAsia" w:hAnsiTheme="minorEastAsia" w:eastAsiaTheme="minorEastAsia" w:cstheme="minorEastAsia"/>
          <w:color w:val="auto"/>
          <w:sz w:val="21"/>
          <w:szCs w:val="21"/>
          <w:highlight w:val="none"/>
          <w:lang w:eastAsia="zh-CN"/>
        </w:rPr>
        <w:t>根据我院业务发展需要，广州市从化区中医医院</w:t>
      </w:r>
      <w:r>
        <w:rPr>
          <w:rFonts w:hint="eastAsia" w:asciiTheme="minorEastAsia" w:hAnsiTheme="minorEastAsia" w:eastAsiaTheme="minorEastAsia" w:cstheme="minorEastAsia"/>
          <w:color w:val="auto"/>
          <w:sz w:val="21"/>
          <w:szCs w:val="21"/>
          <w:highlight w:val="none"/>
        </w:rPr>
        <w:t>（以下简称“采购人”）就</w:t>
      </w:r>
      <w:r>
        <w:rPr>
          <w:rFonts w:hint="eastAsia" w:asciiTheme="minorEastAsia" w:hAnsiTheme="minorEastAsia" w:eastAsiaTheme="minorEastAsia" w:cstheme="minorEastAsia"/>
          <w:b/>
          <w:bCs/>
          <w:color w:val="auto"/>
          <w:sz w:val="21"/>
          <w:szCs w:val="21"/>
          <w:highlight w:val="none"/>
          <w:u w:val="single"/>
          <w:lang w:eastAsia="zh-CN"/>
        </w:rPr>
        <w:t>从化区中医医院电子支气管内镜、检验科专用纯水机采购项目</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采购</w:t>
      </w:r>
      <w:r>
        <w:rPr>
          <w:rFonts w:hint="eastAsia" w:asciiTheme="minorEastAsia" w:hAnsiTheme="minorEastAsia" w:eastAsiaTheme="minorEastAsia" w:cstheme="minorEastAsia"/>
          <w:color w:val="auto"/>
          <w:sz w:val="21"/>
          <w:szCs w:val="21"/>
          <w:highlight w:val="none"/>
        </w:rPr>
        <w:t>，欢迎符合资格条件的供应商参加。有关事项如下：</w:t>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lang w:eastAsia="zh-CN"/>
        </w:rPr>
      </w:pPr>
      <w:bookmarkStart w:id="23" w:name="OLE_LINK8"/>
      <w:r>
        <w:rPr>
          <w:rFonts w:hint="eastAsia" w:asciiTheme="minorEastAsia" w:hAnsiTheme="minorEastAsia" w:eastAsiaTheme="minorEastAsia" w:cstheme="minorEastAsia"/>
          <w:b/>
          <w:color w:val="auto"/>
          <w:sz w:val="21"/>
          <w:szCs w:val="21"/>
          <w:highlight w:val="none"/>
        </w:rPr>
        <w:t>项目</w:t>
      </w:r>
      <w:r>
        <w:rPr>
          <w:rFonts w:hint="eastAsia" w:asciiTheme="minorEastAsia" w:hAnsiTheme="minorEastAsia" w:eastAsiaTheme="minorEastAsia" w:cstheme="minorEastAsia"/>
          <w:b/>
          <w:color w:val="auto"/>
          <w:sz w:val="21"/>
          <w:szCs w:val="21"/>
          <w:highlight w:val="none"/>
          <w:lang w:val="en-US" w:eastAsia="zh-CN"/>
        </w:rPr>
        <w:t>概况</w:t>
      </w:r>
    </w:p>
    <w:bookmarkEnd w:id="23"/>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lang w:eastAsia="zh-CN"/>
        </w:rPr>
      </w:pPr>
      <w:bookmarkStart w:id="24" w:name="_Toc28208_WPSOffice_Level1"/>
      <w:bookmarkStart w:id="25" w:name="_Toc30759_WPSOffice_Level1"/>
      <w:r>
        <w:rPr>
          <w:rFonts w:hint="eastAsia" w:asciiTheme="minorEastAsia" w:hAnsiTheme="minorEastAsia" w:eastAsiaTheme="minorEastAsia" w:cstheme="minorEastAsia"/>
          <w:color w:val="auto"/>
          <w:sz w:val="21"/>
          <w:szCs w:val="21"/>
          <w:highlight w:val="none"/>
        </w:rPr>
        <w:t>项目名称：</w:t>
      </w:r>
      <w:bookmarkEnd w:id="24"/>
      <w:bookmarkEnd w:id="25"/>
      <w:r>
        <w:rPr>
          <w:rFonts w:hint="eastAsia" w:asciiTheme="minorEastAsia" w:hAnsiTheme="minorEastAsia" w:eastAsiaTheme="minorEastAsia" w:cstheme="minorEastAsia"/>
          <w:color w:val="auto"/>
          <w:sz w:val="21"/>
          <w:szCs w:val="21"/>
          <w:highlight w:val="none"/>
          <w:lang w:eastAsia="zh-CN"/>
        </w:rPr>
        <w:t>从化区中医医院电子支气管内镜、</w:t>
      </w:r>
      <w:bookmarkStart w:id="26" w:name="OLE_LINK60"/>
      <w:r>
        <w:rPr>
          <w:rFonts w:hint="eastAsia" w:asciiTheme="minorEastAsia" w:hAnsiTheme="minorEastAsia" w:eastAsiaTheme="minorEastAsia" w:cstheme="minorEastAsia"/>
          <w:color w:val="auto"/>
          <w:sz w:val="21"/>
          <w:szCs w:val="21"/>
          <w:highlight w:val="none"/>
          <w:lang w:eastAsia="zh-CN"/>
        </w:rPr>
        <w:t>检验科专用纯水机</w:t>
      </w:r>
      <w:bookmarkEnd w:id="26"/>
      <w:r>
        <w:rPr>
          <w:rFonts w:hint="eastAsia" w:asciiTheme="minorEastAsia" w:hAnsiTheme="minorEastAsia" w:eastAsiaTheme="minorEastAsia" w:cstheme="minorEastAsia"/>
          <w:color w:val="auto"/>
          <w:sz w:val="21"/>
          <w:szCs w:val="21"/>
          <w:highlight w:val="none"/>
          <w:lang w:eastAsia="zh-CN"/>
        </w:rPr>
        <w:t>采购项目</w:t>
      </w:r>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rPr>
      </w:pPr>
      <w:bookmarkStart w:id="27" w:name="_Toc1347_WPSOffice_Level1"/>
      <w:bookmarkStart w:id="28" w:name="_Toc23499_WPSOffice_Level1"/>
      <w:r>
        <w:rPr>
          <w:rFonts w:hint="eastAsia" w:asciiTheme="minorEastAsia" w:hAnsiTheme="minorEastAsia" w:eastAsiaTheme="minorEastAsia" w:cstheme="minorEastAsia"/>
          <w:color w:val="auto"/>
          <w:sz w:val="21"/>
          <w:szCs w:val="21"/>
          <w:highlight w:val="none"/>
        </w:rPr>
        <w:t>项目类别：</w:t>
      </w:r>
      <w:r>
        <w:rPr>
          <w:rFonts w:hint="eastAsia" w:asciiTheme="minorEastAsia" w:hAnsiTheme="minorEastAsia" w:eastAsiaTheme="minorEastAsia" w:cstheme="minorEastAsia"/>
          <w:color w:val="auto"/>
          <w:sz w:val="21"/>
          <w:szCs w:val="21"/>
          <w:highlight w:val="none"/>
          <w:lang w:val="en-US" w:eastAsia="zh-CN"/>
        </w:rPr>
        <w:t>货物</w:t>
      </w:r>
      <w:r>
        <w:rPr>
          <w:rFonts w:hint="eastAsia" w:asciiTheme="minorEastAsia" w:hAnsiTheme="minorEastAsia" w:eastAsiaTheme="minorEastAsia" w:cstheme="minorEastAsia"/>
          <w:color w:val="auto"/>
          <w:sz w:val="21"/>
          <w:szCs w:val="21"/>
          <w:highlight w:val="none"/>
        </w:rPr>
        <w:t>类</w:t>
      </w:r>
      <w:bookmarkEnd w:id="27"/>
      <w:bookmarkEnd w:id="28"/>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lang w:val="en-US" w:eastAsia="zh-CN"/>
        </w:rPr>
      </w:pPr>
      <w:bookmarkStart w:id="29" w:name="_Toc11780_WPSOffice_Level1"/>
      <w:bookmarkStart w:id="30" w:name="_Toc18020_WPSOffice_Level1"/>
      <w:r>
        <w:rPr>
          <w:rFonts w:hint="eastAsia" w:asciiTheme="minorEastAsia" w:hAnsiTheme="minorEastAsia" w:eastAsiaTheme="minorEastAsia" w:cstheme="minorEastAsia"/>
          <w:color w:val="auto"/>
          <w:sz w:val="21"/>
          <w:szCs w:val="21"/>
          <w:highlight w:val="none"/>
          <w:lang w:val="en-US" w:eastAsia="zh-CN"/>
        </w:rPr>
        <w:t>采购方式：</w:t>
      </w:r>
      <w:r>
        <w:rPr>
          <w:rFonts w:hint="eastAsia" w:asciiTheme="minorEastAsia" w:hAnsiTheme="minorEastAsia" w:eastAsiaTheme="minorEastAsia" w:cstheme="minorEastAsia"/>
          <w:color w:val="auto"/>
          <w:sz w:val="21"/>
          <w:szCs w:val="21"/>
          <w:highlight w:val="none"/>
        </w:rPr>
        <w:t>院内竞争性磋商</w:t>
      </w:r>
      <w:bookmarkEnd w:id="29"/>
      <w:bookmarkEnd w:id="30"/>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color w:val="auto"/>
        </w:rPr>
      </w:pPr>
      <w:bookmarkStart w:id="31" w:name="_Toc6914_WPSOffice_Level1"/>
      <w:bookmarkStart w:id="32" w:name="_Toc4666_WPSOffice_Level1"/>
      <w:bookmarkStart w:id="33" w:name="OLE_LINK2"/>
      <w:r>
        <w:rPr>
          <w:rFonts w:hint="eastAsia" w:asciiTheme="minorEastAsia" w:hAnsiTheme="minorEastAsia" w:eastAsiaTheme="minorEastAsia" w:cstheme="minorEastAsia"/>
          <w:color w:val="auto"/>
          <w:sz w:val="21"/>
          <w:szCs w:val="21"/>
          <w:highlight w:val="none"/>
        </w:rPr>
        <w:t>项目最高限价：</w:t>
      </w:r>
      <w:r>
        <w:rPr>
          <w:rFonts w:hint="eastAsia" w:asciiTheme="minorEastAsia" w:hAnsiTheme="minorEastAsia" w:eastAsiaTheme="minorEastAsia" w:cstheme="minorEastAsia"/>
          <w:color w:val="auto"/>
          <w:sz w:val="21"/>
          <w:szCs w:val="21"/>
          <w:highlight w:val="none"/>
          <w:lang w:val="en-US" w:eastAsia="zh-CN"/>
        </w:rPr>
        <w:t>17</w:t>
      </w:r>
      <w:r>
        <w:rPr>
          <w:rFonts w:hint="eastAsia" w:asciiTheme="minorEastAsia" w:hAnsiTheme="minorEastAsia" w:eastAsiaTheme="minorEastAsia" w:cstheme="minorEastAsia"/>
          <w:color w:val="auto"/>
          <w:sz w:val="21"/>
          <w:szCs w:val="21"/>
          <w:highlight w:val="none"/>
        </w:rPr>
        <w:t>万元</w:t>
      </w:r>
      <w:bookmarkEnd w:id="31"/>
      <w:bookmarkEnd w:id="32"/>
    </w:p>
    <w:bookmarkEnd w:id="33"/>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资金来源：自有资金</w:t>
      </w:r>
    </w:p>
    <w:p>
      <w:pPr>
        <w:keepNext w:val="0"/>
        <w:keepLines w:val="0"/>
        <w:pageBreakBefore w:val="0"/>
        <w:numPr>
          <w:ilvl w:val="0"/>
          <w:numId w:val="2"/>
        </w:numPr>
        <w:tabs>
          <w:tab w:val="left" w:pos="851"/>
        </w:tabs>
        <w:kinsoku/>
        <w:wordWrap/>
        <w:overflowPunct/>
        <w:topLinePunct w:val="0"/>
        <w:bidi w:val="0"/>
        <w:adjustRightInd/>
        <w:snapToGrid/>
        <w:spacing w:line="360" w:lineRule="auto"/>
        <w:ind w:left="4955" w:leftChars="0" w:hanging="4535" w:firstLineChars="0"/>
        <w:textAlignment w:val="auto"/>
        <w:outlineLvl w:val="9"/>
        <w:rPr>
          <w:rFonts w:hint="eastAsia" w:asciiTheme="minorEastAsia" w:hAnsiTheme="minorEastAsia" w:eastAsiaTheme="minorEastAsia" w:cstheme="minorEastAsia"/>
          <w:color w:val="auto"/>
          <w:sz w:val="21"/>
          <w:szCs w:val="21"/>
          <w:highlight w:val="none"/>
        </w:rPr>
      </w:pPr>
      <w:bookmarkStart w:id="34" w:name="_Toc26440_WPSOffice_Level1"/>
      <w:bookmarkStart w:id="35" w:name="_Toc19127_WPSOffice_Level1"/>
      <w:r>
        <w:rPr>
          <w:rFonts w:hint="eastAsia" w:asciiTheme="minorEastAsia" w:hAnsiTheme="minorEastAsia" w:eastAsiaTheme="minorEastAsia" w:cstheme="minorEastAsia"/>
          <w:color w:val="auto"/>
          <w:sz w:val="21"/>
          <w:szCs w:val="21"/>
          <w:highlight w:val="none"/>
        </w:rPr>
        <w:t>采购内容</w:t>
      </w:r>
      <w:bookmarkEnd w:id="34"/>
      <w:bookmarkEnd w:id="35"/>
      <w:r>
        <w:rPr>
          <w:rFonts w:hint="eastAsia" w:asciiTheme="minorEastAsia" w:hAnsiTheme="minorEastAsia" w:eastAsiaTheme="minorEastAsia" w:cstheme="minorEastAsia"/>
          <w:color w:val="auto"/>
          <w:sz w:val="21"/>
          <w:szCs w:val="21"/>
          <w:highlight w:val="none"/>
          <w:lang w:eastAsia="zh-CN"/>
        </w:rPr>
        <w:t>：</w:t>
      </w:r>
    </w:p>
    <w:tbl>
      <w:tblPr>
        <w:tblStyle w:val="48"/>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968"/>
        <w:gridCol w:w="763"/>
        <w:gridCol w:w="857"/>
        <w:gridCol w:w="1381"/>
        <w:gridCol w:w="1365"/>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57"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bookmarkStart w:id="36" w:name="_Toc14080"/>
            <w:bookmarkStart w:id="37" w:name="OLE_LINK12"/>
            <w:r>
              <w:rPr>
                <w:rFonts w:hint="eastAsia" w:asciiTheme="minorEastAsia" w:hAnsiTheme="minorEastAsia" w:eastAsiaTheme="minorEastAsia" w:cstheme="minorEastAsia"/>
                <w:b/>
                <w:color w:val="auto"/>
                <w:sz w:val="21"/>
                <w:szCs w:val="21"/>
                <w:highlight w:val="none"/>
                <w:lang w:val="en-US" w:eastAsia="zh-CN"/>
              </w:rPr>
              <w:t>序号</w:t>
            </w:r>
          </w:p>
        </w:tc>
        <w:tc>
          <w:tcPr>
            <w:tcW w:w="1096"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采购</w:t>
            </w:r>
            <w:r>
              <w:rPr>
                <w:rFonts w:hint="eastAsia" w:asciiTheme="minorEastAsia" w:hAnsiTheme="minorEastAsia" w:eastAsiaTheme="minorEastAsia" w:cstheme="minorEastAsia"/>
                <w:b/>
                <w:color w:val="auto"/>
                <w:sz w:val="21"/>
                <w:szCs w:val="21"/>
                <w:highlight w:val="none"/>
              </w:rPr>
              <w:t>内容</w:t>
            </w:r>
            <w:bookmarkEnd w:id="36"/>
          </w:p>
        </w:tc>
        <w:tc>
          <w:tcPr>
            <w:tcW w:w="424"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bookmarkStart w:id="38" w:name="_Toc12910"/>
            <w:r>
              <w:rPr>
                <w:rFonts w:hint="eastAsia" w:asciiTheme="minorEastAsia" w:hAnsiTheme="minorEastAsia" w:eastAsiaTheme="minorEastAsia" w:cstheme="minorEastAsia"/>
                <w:b/>
                <w:color w:val="auto"/>
                <w:sz w:val="21"/>
                <w:szCs w:val="21"/>
                <w:highlight w:val="none"/>
                <w:lang w:val="en-US" w:eastAsia="zh-CN"/>
              </w:rPr>
              <w:t>单位</w:t>
            </w:r>
            <w:bookmarkEnd w:id="38"/>
          </w:p>
        </w:tc>
        <w:tc>
          <w:tcPr>
            <w:tcW w:w="477"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bookmarkStart w:id="39" w:name="_Toc10595"/>
            <w:r>
              <w:rPr>
                <w:rFonts w:hint="eastAsia" w:asciiTheme="minorEastAsia" w:hAnsiTheme="minorEastAsia" w:eastAsiaTheme="minorEastAsia" w:cstheme="minorEastAsia"/>
                <w:b/>
                <w:color w:val="auto"/>
                <w:sz w:val="21"/>
                <w:szCs w:val="21"/>
                <w:highlight w:val="none"/>
                <w:lang w:val="en-US" w:eastAsia="zh-CN"/>
              </w:rPr>
              <w:t>数量</w:t>
            </w:r>
            <w:bookmarkEnd w:id="39"/>
          </w:p>
        </w:tc>
        <w:tc>
          <w:tcPr>
            <w:tcW w:w="769"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bookmarkStart w:id="40" w:name="_Toc4916"/>
            <w:r>
              <w:rPr>
                <w:rFonts w:hint="eastAsia" w:asciiTheme="minorEastAsia" w:hAnsiTheme="minorEastAsia" w:eastAsiaTheme="minorEastAsia" w:cstheme="minorEastAsia"/>
                <w:b/>
                <w:color w:val="auto"/>
                <w:sz w:val="21"/>
                <w:szCs w:val="21"/>
                <w:highlight w:val="none"/>
                <w:lang w:val="en-US" w:eastAsia="zh-CN"/>
              </w:rPr>
              <w:t>单价限价</w:t>
            </w:r>
          </w:p>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（万元）</w:t>
            </w:r>
          </w:p>
          <w:bookmarkEnd w:id="40"/>
        </w:tc>
        <w:tc>
          <w:tcPr>
            <w:tcW w:w="760"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总价限价</w:t>
            </w:r>
          </w:p>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（万元）</w:t>
            </w:r>
          </w:p>
        </w:tc>
        <w:tc>
          <w:tcPr>
            <w:tcW w:w="1013"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bookmarkStart w:id="41" w:name="_Toc2657"/>
            <w:r>
              <w:rPr>
                <w:rFonts w:hint="eastAsia" w:asciiTheme="minorEastAsia" w:hAnsiTheme="minorEastAsia" w:eastAsiaTheme="minorEastAsia" w:cstheme="minorEastAsia"/>
                <w:b/>
                <w:color w:val="auto"/>
                <w:sz w:val="21"/>
                <w:szCs w:val="21"/>
                <w:highlight w:val="none"/>
                <w:lang w:val="en-US" w:eastAsia="zh-CN"/>
              </w:rPr>
              <w:t>交货期</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bookmarkStart w:id="42" w:name="_Toc25839"/>
            <w:bookmarkStart w:id="43" w:name="OLE_LINK62" w:colFirst="4" w:colLast="5"/>
            <w:bookmarkStart w:id="44" w:name="OLE_LINK4" w:colFirst="1" w:colLast="1"/>
            <w:bookmarkStart w:id="45" w:name="OLE_LINK3" w:colFirst="0" w:colLast="5"/>
            <w:bookmarkStart w:id="46" w:name="OLE_LINK6" w:colFirst="0" w:colLast="3"/>
            <w:r>
              <w:rPr>
                <w:rFonts w:hint="eastAsia" w:asciiTheme="minorEastAsia" w:hAnsiTheme="minorEastAsia" w:eastAsiaTheme="minorEastAsia" w:cstheme="minorEastAsia"/>
                <w:color w:val="auto"/>
                <w:kern w:val="0"/>
                <w:sz w:val="21"/>
                <w:szCs w:val="21"/>
                <w:lang w:val="en-US" w:eastAsia="zh-CN"/>
              </w:rPr>
              <w:t>1</w:t>
            </w:r>
          </w:p>
          <w:bookmarkEnd w:id="42"/>
        </w:tc>
        <w:tc>
          <w:tcPr>
            <w:tcW w:w="109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电子支气管内镜</w:t>
            </w:r>
          </w:p>
        </w:tc>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台</w:t>
            </w:r>
          </w:p>
        </w:tc>
        <w:tc>
          <w:tcPr>
            <w:tcW w:w="47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7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01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bookmarkStart w:id="47" w:name="OLE_LINK5"/>
            <w:bookmarkStart w:id="48" w:name="_Toc3783"/>
            <w:r>
              <w:rPr>
                <w:rFonts w:hint="eastAsia" w:asciiTheme="minorEastAsia" w:hAnsiTheme="minorEastAsia" w:eastAsiaTheme="minorEastAsia" w:cstheme="minorEastAsia"/>
                <w:color w:val="auto"/>
                <w:sz w:val="21"/>
                <w:szCs w:val="21"/>
                <w:highlight w:val="none"/>
              </w:rPr>
              <w:t>签订合同后60天内完成供货</w:t>
            </w:r>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bookmarkStart w:id="49" w:name="_Toc2112"/>
            <w:r>
              <w:rPr>
                <w:rFonts w:hint="eastAsia" w:asciiTheme="minorEastAsia" w:hAnsiTheme="minorEastAsia" w:eastAsiaTheme="minorEastAsia" w:cstheme="minorEastAsia"/>
                <w:color w:val="auto"/>
                <w:kern w:val="0"/>
                <w:sz w:val="21"/>
                <w:szCs w:val="21"/>
                <w:lang w:val="en-US" w:eastAsia="zh-CN"/>
              </w:rPr>
              <w:t>2</w:t>
            </w:r>
          </w:p>
          <w:bookmarkEnd w:id="49"/>
        </w:tc>
        <w:tc>
          <w:tcPr>
            <w:tcW w:w="109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检验科专用纯水机</w:t>
            </w:r>
          </w:p>
        </w:tc>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套</w:t>
            </w:r>
          </w:p>
        </w:tc>
        <w:tc>
          <w:tcPr>
            <w:tcW w:w="47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01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p>
        </w:tc>
      </w:tr>
      <w:bookmarkEnd w:id="43"/>
      <w:bookmarkEnd w:id="44"/>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7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bookmarkStart w:id="50" w:name="OLE_LINK63" w:colFirst="0" w:colLast="1"/>
            <w:r>
              <w:rPr>
                <w:rFonts w:hint="eastAsia" w:asciiTheme="minorEastAsia" w:hAnsiTheme="minorEastAsia" w:eastAsiaTheme="minorEastAsia" w:cstheme="minorEastAsia"/>
                <w:color w:val="auto"/>
                <w:sz w:val="21"/>
                <w:szCs w:val="21"/>
                <w:highlight w:val="none"/>
                <w:lang w:val="en-US" w:eastAsia="zh-CN"/>
              </w:rPr>
              <w:t>合计：</w:t>
            </w:r>
          </w:p>
        </w:tc>
        <w:tc>
          <w:tcPr>
            <w:tcW w:w="4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7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w:t>
            </w:r>
          </w:p>
        </w:tc>
        <w:tc>
          <w:tcPr>
            <w:tcW w:w="1013"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bookmarkEnd w:id="37"/>
      <w:bookmarkEnd w:id="46"/>
      <w:bookmarkEnd w:id="50"/>
    </w:tbl>
    <w:p>
      <w:pPr>
        <w:keepNext w:val="0"/>
        <w:keepLines w:val="0"/>
        <w:pageBreakBefore w:val="0"/>
        <w:tabs>
          <w:tab w:val="left" w:pos="851"/>
        </w:tabs>
        <w:kinsoku/>
        <w:wordWrap/>
        <w:overflowPunct/>
        <w:topLinePunct w:val="0"/>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lang w:val="en-US" w:eastAsia="zh-CN"/>
        </w:rPr>
      </w:pPr>
      <w:bookmarkStart w:id="51" w:name="OLE_LINK64"/>
      <w:r>
        <w:rPr>
          <w:rFonts w:hint="eastAsia" w:asciiTheme="minorEastAsia" w:hAnsiTheme="minorEastAsia" w:eastAsiaTheme="minorEastAsia" w:cstheme="minorEastAsia"/>
          <w:color w:val="auto"/>
          <w:sz w:val="21"/>
          <w:szCs w:val="21"/>
          <w:lang w:val="en-US" w:eastAsia="zh-CN"/>
        </w:rPr>
        <w:t>7.本项目不允许采购进口产品（进口产品指通过中国海关报关验放进入中国境内且产自关境外的产品），具体详见采购需求。</w:t>
      </w:r>
    </w:p>
    <w:bookmarkEnd w:id="51"/>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项目详细内容及需求</w:t>
      </w:r>
    </w:p>
    <w:p>
      <w:pPr>
        <w:keepNext w:val="0"/>
        <w:keepLines w:val="0"/>
        <w:pageBreakBefore w:val="0"/>
        <w:tabs>
          <w:tab w:val="left" w:pos="851"/>
        </w:tabs>
        <w:kinsoku/>
        <w:wordWrap/>
        <w:overflowPunct/>
        <w:topLinePunct w:val="0"/>
        <w:bidi w:val="0"/>
        <w:adjustRightInd/>
        <w:snapToGrid/>
        <w:spacing w:line="360" w:lineRule="auto"/>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详细技术参数</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及执行标准等详见</w:t>
      </w:r>
      <w:r>
        <w:rPr>
          <w:rFonts w:hint="eastAsia" w:asciiTheme="minorEastAsia" w:hAnsiTheme="minorEastAsia" w:eastAsiaTheme="minorEastAsia" w:cstheme="minorEastAsia"/>
          <w:color w:val="auto"/>
          <w:sz w:val="21"/>
          <w:szCs w:val="21"/>
          <w:highlight w:val="none"/>
          <w:lang w:eastAsia="zh-CN"/>
        </w:rPr>
        <w:t>院内磋商文件</w:t>
      </w:r>
      <w:r>
        <w:rPr>
          <w:rFonts w:hint="eastAsia" w:asciiTheme="minorEastAsia" w:hAnsiTheme="minorEastAsia" w:eastAsiaTheme="minorEastAsia" w:cstheme="minorEastAsia"/>
          <w:color w:val="auto"/>
          <w:sz w:val="21"/>
          <w:szCs w:val="21"/>
          <w:highlight w:val="none"/>
        </w:rPr>
        <w:t>中的“用户需求书”，供应商必须对全部内容进行报价，不得缺漏或超过</w:t>
      </w:r>
      <w:r>
        <w:rPr>
          <w:rFonts w:hint="eastAsia" w:asciiTheme="minorEastAsia" w:hAnsiTheme="minorEastAsia" w:eastAsiaTheme="minorEastAsia" w:cstheme="minorEastAsia"/>
          <w:color w:val="auto"/>
          <w:sz w:val="21"/>
          <w:szCs w:val="21"/>
          <w:highlight w:val="none"/>
          <w:lang w:val="en-US" w:eastAsia="zh-CN"/>
        </w:rPr>
        <w:t>各项</w:t>
      </w:r>
      <w:r>
        <w:rPr>
          <w:rFonts w:hint="eastAsia" w:asciiTheme="minorEastAsia" w:hAnsiTheme="minorEastAsia" w:eastAsiaTheme="minorEastAsia" w:cstheme="minorEastAsia"/>
          <w:color w:val="auto"/>
          <w:sz w:val="21"/>
          <w:szCs w:val="21"/>
          <w:highlight w:val="none"/>
        </w:rPr>
        <w:t>限价</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否则将被视为</w:t>
      </w:r>
      <w:r>
        <w:rPr>
          <w:rFonts w:hint="eastAsia" w:asciiTheme="minorEastAsia" w:hAnsiTheme="minorEastAsia" w:eastAsiaTheme="minorEastAsia" w:cstheme="minorEastAsia"/>
          <w:color w:val="auto"/>
          <w:sz w:val="21"/>
          <w:szCs w:val="21"/>
          <w:highlight w:val="none"/>
        </w:rPr>
        <w:t>非实质性响应采购文件，按无效处理。</w:t>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供应商资格要求</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1.具有独立承担民事责任的能力(提供法人或者其他组织的营业执照等证明文件,自然人的身份证明</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若分支机构参与响应的，须提供总公司和分公司营业执照副本复印件，总公司出具给分支机构的授权书</w:t>
      </w:r>
      <w:r>
        <w:rPr>
          <w:rFonts w:hint="eastAsia" w:asciiTheme="minorEastAsia" w:hAnsiTheme="minorEastAsia" w:eastAsiaTheme="minorEastAsia" w:cstheme="minorEastAsia"/>
          <w:color w:val="auto"/>
          <w:sz w:val="21"/>
          <w:szCs w:val="21"/>
          <w:highlight w:val="none"/>
        </w:rPr>
        <w:t>)；</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2.具有良好的商业信誉和健全的财务会计制度（提供声明函，格式自拟）；</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3.有依法缴纳税收和社会保障资金的良好记录（提供声明函，格式自拟)；</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4.具有履行合同所必需的设备和专业技术能力（提供声明函，格式自拟）；</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5.提供参加</w:t>
      </w:r>
      <w:r>
        <w:rPr>
          <w:rFonts w:hint="eastAsia" w:asciiTheme="minorEastAsia" w:hAnsiTheme="minorEastAsia" w:eastAsiaTheme="minorEastAsia" w:cstheme="minorEastAsia"/>
          <w:color w:val="auto"/>
          <w:sz w:val="21"/>
          <w:szCs w:val="21"/>
          <w:highlight w:val="none"/>
          <w:lang w:val="en-US" w:eastAsia="zh-CN"/>
        </w:rPr>
        <w:t>本次</w:t>
      </w:r>
      <w:r>
        <w:rPr>
          <w:rFonts w:hint="eastAsia" w:asciiTheme="minorEastAsia" w:hAnsiTheme="minorEastAsia" w:eastAsiaTheme="minorEastAsia" w:cstheme="minorEastAsia"/>
          <w:color w:val="auto"/>
          <w:sz w:val="21"/>
          <w:szCs w:val="21"/>
          <w:highlight w:val="none"/>
        </w:rPr>
        <w:t>采购活动前3年内在经营活动中没有重大违法记录的书面声明（提供书面声明，格式自拟）；</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bookmarkStart w:id="52" w:name="OLE_LINK65"/>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r>
        <w:rPr>
          <w:rFonts w:hint="eastAsia" w:asciiTheme="minorEastAsia" w:hAnsiTheme="minorEastAsia" w:eastAsiaTheme="minorEastAsia" w:cstheme="minorEastAsia"/>
          <w:color w:val="auto"/>
          <w:sz w:val="21"/>
          <w:szCs w:val="21"/>
          <w:highlight w:val="none"/>
          <w:lang w:val="en-US" w:eastAsia="zh-CN"/>
        </w:rPr>
        <w:t>提供</w:t>
      </w:r>
      <w:r>
        <w:rPr>
          <w:rFonts w:hint="eastAsia" w:asciiTheme="minorEastAsia" w:hAnsiTheme="minorEastAsia" w:eastAsiaTheme="minorEastAsia" w:cstheme="minorEastAsia"/>
          <w:color w:val="auto"/>
          <w:sz w:val="21"/>
          <w:szCs w:val="21"/>
          <w:highlight w:val="none"/>
        </w:rPr>
        <w:t>“信用中国”网站（www.creditchina.gov.cn）及中国政府采购网(www.ccgp.gov.cn)查询供应商记录</w:t>
      </w:r>
      <w:r>
        <w:rPr>
          <w:rFonts w:hint="eastAsia" w:asciiTheme="minorEastAsia" w:hAnsiTheme="minorEastAsia" w:eastAsiaTheme="minorEastAsia" w:cstheme="minorEastAsia"/>
          <w:color w:val="auto"/>
          <w:sz w:val="21"/>
          <w:szCs w:val="21"/>
          <w:highlight w:val="none"/>
          <w:lang w:val="en-US" w:eastAsia="zh-CN"/>
        </w:rPr>
        <w:t>的截图</w:t>
      </w:r>
      <w:r>
        <w:rPr>
          <w:rFonts w:hint="eastAsia" w:asciiTheme="minorEastAsia" w:hAnsiTheme="minorEastAsia" w:eastAsiaTheme="minorEastAsia" w:cstheme="minorEastAsia"/>
          <w:color w:val="auto"/>
          <w:sz w:val="21"/>
          <w:szCs w:val="21"/>
          <w:highlight w:val="none"/>
        </w:rPr>
        <w:t>。</w:t>
      </w:r>
    </w:p>
    <w:bookmarkEnd w:id="52"/>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7.单位负责人为同一人或者存在直接控股、管理关系的不同供应商，不得同时</w:t>
      </w:r>
      <w:r>
        <w:rPr>
          <w:rFonts w:hint="eastAsia" w:asciiTheme="minorEastAsia" w:hAnsiTheme="minorEastAsia" w:eastAsiaTheme="minorEastAsia" w:cstheme="minorEastAsia"/>
          <w:color w:val="auto"/>
          <w:sz w:val="21"/>
          <w:szCs w:val="21"/>
          <w:highlight w:val="none"/>
          <w:lang w:val="en-US" w:eastAsia="zh-CN"/>
        </w:rPr>
        <w:t>参与</w:t>
      </w: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（提供书面声明，格式自拟）。</w:t>
      </w:r>
    </w:p>
    <w:p>
      <w:pPr>
        <w:keepNext w:val="0"/>
        <w:keepLines w:val="0"/>
        <w:pageBreakBefore w:val="0"/>
        <w:kinsoku/>
        <w:wordWrap/>
        <w:overflowPunct/>
        <w:topLinePunct w:val="0"/>
        <w:bidi w:val="0"/>
        <w:adjustRightInd/>
        <w:snapToGrid/>
        <w:spacing w:line="360" w:lineRule="auto"/>
        <w:ind w:firstLine="420" w:firstLineChars="20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8.为本项目提供整体设计、规范编制或者项目管理、监理、检测等服务的供应商，不得再参与本项目</w:t>
      </w:r>
      <w:bookmarkStart w:id="53" w:name="OLE_LINK7"/>
      <w:r>
        <w:rPr>
          <w:rFonts w:hint="eastAsia" w:asciiTheme="minorEastAsia" w:hAnsiTheme="minorEastAsia" w:eastAsiaTheme="minorEastAsia" w:cstheme="minorEastAsia"/>
          <w:color w:val="auto"/>
          <w:sz w:val="21"/>
          <w:szCs w:val="21"/>
          <w:highlight w:val="none"/>
          <w:lang w:val="en-US" w:eastAsia="zh-CN"/>
        </w:rPr>
        <w:t>响应</w:t>
      </w:r>
      <w:bookmarkEnd w:id="53"/>
      <w:r>
        <w:rPr>
          <w:rFonts w:hint="eastAsia" w:asciiTheme="minorEastAsia" w:hAnsiTheme="minorEastAsia" w:eastAsiaTheme="minorEastAsia" w:cstheme="minorEastAsia"/>
          <w:color w:val="auto"/>
          <w:sz w:val="21"/>
          <w:szCs w:val="21"/>
          <w:highlight w:val="none"/>
        </w:rPr>
        <w:t>。（提供书面声明，格式自拟）</w:t>
      </w:r>
    </w:p>
    <w:p>
      <w:pPr>
        <w:keepNext w:val="0"/>
        <w:keepLines w:val="0"/>
        <w:pageBreakBefore w:val="0"/>
        <w:tabs>
          <w:tab w:val="left" w:pos="851"/>
        </w:tabs>
        <w:kinsoku/>
        <w:wordWrap/>
        <w:overflowPunct/>
        <w:topLinePunct w:val="0"/>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.本项目不接受联合体</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w:t>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lang w:val="en-US" w:eastAsia="zh-CN"/>
        </w:rPr>
      </w:pPr>
      <w:bookmarkStart w:id="54" w:name="_Toc27677_WPSOffice_Level1"/>
      <w:bookmarkStart w:id="55" w:name="_Toc4668_WPSOffice_Level1"/>
      <w:bookmarkStart w:id="56" w:name="OLE_LINK9"/>
      <w:r>
        <w:rPr>
          <w:rFonts w:hint="eastAsia" w:asciiTheme="minorEastAsia" w:hAnsiTheme="minorEastAsia" w:eastAsiaTheme="minorEastAsia" w:cstheme="minorEastAsia"/>
          <w:b/>
          <w:color w:val="auto"/>
          <w:sz w:val="21"/>
          <w:szCs w:val="21"/>
          <w:highlight w:val="none"/>
          <w:lang w:val="en-US" w:eastAsia="zh-CN"/>
        </w:rPr>
        <w:t>报名时间及方式</w:t>
      </w:r>
      <w:bookmarkEnd w:id="54"/>
      <w:bookmarkEnd w:id="55"/>
    </w:p>
    <w:bookmarkEnd w:id="56"/>
    <w:p>
      <w:pPr>
        <w:keepNext w:val="0"/>
        <w:keepLines w:val="0"/>
        <w:pageBreakBefore w:val="0"/>
        <w:tabs>
          <w:tab w:val="left" w:pos="851"/>
        </w:tabs>
        <w:kinsoku/>
        <w:wordWrap/>
        <w:overflowPunct/>
        <w:topLinePunct w:val="0"/>
        <w:bidi w:val="0"/>
        <w:adjustRightInd/>
        <w:snapToGrid/>
        <w:spacing w:line="360" w:lineRule="auto"/>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bookmarkStart w:id="57" w:name="OLE_LINK66"/>
      <w:r>
        <w:rPr>
          <w:rFonts w:hint="eastAsia" w:asciiTheme="minorEastAsia" w:hAnsiTheme="minorEastAsia" w:eastAsiaTheme="minorEastAsia" w:cstheme="minorEastAsia"/>
          <w:color w:val="auto"/>
          <w:sz w:val="21"/>
          <w:szCs w:val="21"/>
          <w:highlight w:val="none"/>
          <w:lang w:val="en-US" w:eastAsia="zh-CN"/>
        </w:rPr>
        <w:t>1.报名时间：2024年</w:t>
      </w:r>
      <w:bookmarkStart w:id="58" w:name="OLE_LINK10"/>
      <w:r>
        <w:rPr>
          <w:rFonts w:hint="eastAsia" w:asciiTheme="minorEastAsia" w:hAnsiTheme="minorEastAsia" w:eastAsiaTheme="minorEastAsia" w:cstheme="minorEastAsia"/>
          <w:color w:val="auto"/>
          <w:sz w:val="21"/>
          <w:szCs w:val="21"/>
          <w:highlight w:val="none"/>
          <w:lang w:val="en-US" w:eastAsia="zh-CN"/>
        </w:rPr>
        <w:t>9月10日至2024</w:t>
      </w:r>
      <w:bookmarkEnd w:id="58"/>
      <w:r>
        <w:rPr>
          <w:rFonts w:hint="eastAsia" w:asciiTheme="minorEastAsia" w:hAnsiTheme="minorEastAsia" w:eastAsiaTheme="minorEastAsia" w:cstheme="minorEastAsia"/>
          <w:color w:val="auto"/>
          <w:sz w:val="21"/>
          <w:szCs w:val="21"/>
          <w:highlight w:val="none"/>
          <w:lang w:val="en-US" w:eastAsia="zh-CN"/>
        </w:rPr>
        <w:t>年9月13日上午9:00－12:00，下午2:00－5:30(北京时间，节假日除外)。</w:t>
      </w:r>
    </w:p>
    <w:bookmarkEnd w:id="57"/>
    <w:p>
      <w:pPr>
        <w:keepNext w:val="0"/>
        <w:keepLines w:val="0"/>
        <w:pageBreakBefore w:val="0"/>
        <w:tabs>
          <w:tab w:val="left" w:pos="851"/>
        </w:tabs>
        <w:kinsoku/>
        <w:wordWrap/>
        <w:overflowPunct/>
        <w:topLinePunct w:val="0"/>
        <w:bidi w:val="0"/>
        <w:adjustRightInd/>
        <w:snapToGrid/>
        <w:spacing w:line="360" w:lineRule="auto"/>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2.报名方式：电子邮件报名。</w:t>
      </w:r>
    </w:p>
    <w:p>
      <w:pPr>
        <w:keepNext w:val="0"/>
        <w:keepLines w:val="0"/>
        <w:pageBreakBefore w:val="0"/>
        <w:tabs>
          <w:tab w:val="left" w:pos="851"/>
        </w:tabs>
        <w:kinsoku/>
        <w:wordWrap/>
        <w:overflowPunct/>
        <w:topLinePunct w:val="0"/>
        <w:bidi w:val="0"/>
        <w:adjustRightInd/>
        <w:snapToGrid/>
        <w:spacing w:line="360" w:lineRule="auto"/>
        <w:ind w:left="212" w:leftChars="101" w:firstLine="420" w:firstLineChars="200"/>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3.报名邮箱：</w:t>
      </w:r>
      <w:r>
        <w:rPr>
          <w:rFonts w:hint="eastAsia" w:asciiTheme="minorEastAsia" w:hAnsiTheme="minorEastAsia" w:eastAsiaTheme="minorEastAsia" w:cstheme="minorEastAsia"/>
          <w:color w:val="auto"/>
          <w:sz w:val="21"/>
          <w:szCs w:val="21"/>
          <w:highlight w:val="none"/>
          <w:u w:val="none"/>
          <w:lang w:val="en-US" w:eastAsia="zh-CN"/>
        </w:rPr>
        <w:fldChar w:fldCharType="begin"/>
      </w:r>
      <w:r>
        <w:rPr>
          <w:rFonts w:hint="eastAsia" w:asciiTheme="minorEastAsia" w:hAnsiTheme="minorEastAsia" w:eastAsiaTheme="minorEastAsia" w:cstheme="minorEastAsia"/>
          <w:color w:val="auto"/>
          <w:sz w:val="21"/>
          <w:szCs w:val="21"/>
          <w:highlight w:val="none"/>
          <w:u w:val="none"/>
          <w:lang w:val="en-US" w:eastAsia="zh-CN"/>
        </w:rPr>
        <w:instrText xml:space="preserve"> HYPERLINK "mailto:sbk87936130@gz.gov.cn。" </w:instrText>
      </w:r>
      <w:r>
        <w:rPr>
          <w:rFonts w:hint="eastAsia" w:asciiTheme="minorEastAsia" w:hAnsiTheme="minorEastAsia" w:eastAsiaTheme="minorEastAsia" w:cstheme="minorEastAsia"/>
          <w:color w:val="auto"/>
          <w:sz w:val="21"/>
          <w:szCs w:val="21"/>
          <w:highlight w:val="none"/>
          <w:u w:val="none"/>
          <w:lang w:val="en-US" w:eastAsia="zh-CN"/>
        </w:rPr>
        <w:fldChar w:fldCharType="separate"/>
      </w:r>
      <w:r>
        <w:rPr>
          <w:rStyle w:val="55"/>
          <w:rFonts w:hint="eastAsia" w:asciiTheme="minorEastAsia" w:hAnsiTheme="minorEastAsia" w:eastAsiaTheme="minorEastAsia" w:cstheme="minorEastAsia"/>
          <w:color w:val="auto"/>
          <w:sz w:val="21"/>
          <w:szCs w:val="21"/>
          <w:highlight w:val="none"/>
          <w:u w:val="none"/>
          <w:lang w:val="en-US" w:eastAsia="zh-CN"/>
        </w:rPr>
        <w:t>sbk87936130@gz.gov.cn。</w:t>
      </w:r>
      <w:r>
        <w:rPr>
          <w:rFonts w:hint="eastAsia" w:asciiTheme="minorEastAsia" w:hAnsiTheme="minorEastAsia" w:eastAsiaTheme="minorEastAsia" w:cstheme="minorEastAsia"/>
          <w:color w:val="auto"/>
          <w:sz w:val="21"/>
          <w:szCs w:val="21"/>
          <w:highlight w:val="none"/>
          <w:u w:val="none"/>
          <w:lang w:val="en-US" w:eastAsia="zh-CN"/>
        </w:rPr>
        <w:fldChar w:fldCharType="end"/>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lang w:val="en-US" w:eastAsia="zh-CN"/>
        </w:rPr>
      </w:pPr>
      <w:bookmarkStart w:id="59" w:name="_Toc2188_WPSOffice_Level1"/>
      <w:bookmarkStart w:id="60" w:name="_Toc18353_WPSOffice_Level1"/>
      <w:r>
        <w:rPr>
          <w:rFonts w:hint="eastAsia" w:asciiTheme="minorEastAsia" w:hAnsiTheme="minorEastAsia" w:eastAsiaTheme="minorEastAsia" w:cstheme="minorEastAsia"/>
          <w:b/>
          <w:color w:val="auto"/>
          <w:sz w:val="21"/>
          <w:szCs w:val="21"/>
          <w:highlight w:val="none"/>
          <w:lang w:val="en-US" w:eastAsia="zh-CN"/>
        </w:rPr>
        <w:t>报名所需资料</w:t>
      </w:r>
      <w:r>
        <w:rPr>
          <w:rFonts w:hint="eastAsia" w:asciiTheme="minorEastAsia" w:hAnsiTheme="minorEastAsia" w:eastAsiaTheme="minorEastAsia" w:cstheme="minorEastAsia"/>
          <w:color w:val="auto"/>
          <w:sz w:val="21"/>
          <w:szCs w:val="21"/>
          <w:highlight w:val="none"/>
          <w:lang w:val="en-US" w:eastAsia="zh-CN"/>
        </w:rPr>
        <w:t>（详见附件1：报名所需资料及注意事项）</w:t>
      </w:r>
      <w:bookmarkEnd w:id="59"/>
      <w:bookmarkEnd w:id="60"/>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bookmarkStart w:id="61" w:name="_Toc4976_WPSOffice_Level1"/>
      <w:bookmarkStart w:id="62" w:name="_Toc19881_WPSOffice_Level1"/>
      <w:r>
        <w:rPr>
          <w:rFonts w:hint="eastAsia" w:asciiTheme="minorEastAsia" w:hAnsiTheme="minorEastAsia" w:eastAsiaTheme="minorEastAsia" w:cstheme="minorEastAsia"/>
          <w:b/>
          <w:color w:val="auto"/>
          <w:sz w:val="21"/>
          <w:szCs w:val="21"/>
          <w:highlight w:val="none"/>
          <w:lang w:val="en-US" w:eastAsia="zh-CN"/>
        </w:rPr>
        <w:t>院内</w:t>
      </w:r>
      <w:r>
        <w:rPr>
          <w:rFonts w:hint="eastAsia" w:asciiTheme="minorEastAsia" w:hAnsiTheme="minorEastAsia" w:eastAsiaTheme="minorEastAsia" w:cstheme="minorEastAsia"/>
          <w:b/>
          <w:color w:val="auto"/>
          <w:sz w:val="21"/>
          <w:szCs w:val="21"/>
          <w:highlight w:val="none"/>
        </w:rPr>
        <w:t>磋商时间、地点</w:t>
      </w:r>
      <w:bookmarkEnd w:id="61"/>
      <w:bookmarkEnd w:id="62"/>
    </w:p>
    <w:p>
      <w:pPr>
        <w:keepNext w:val="0"/>
        <w:keepLines w:val="0"/>
        <w:pageBreakBefore w:val="0"/>
        <w:kinsoku/>
        <w:wordWrap/>
        <w:overflowPunct/>
        <w:topLinePunct w:val="0"/>
        <w:bidi w:val="0"/>
        <w:adjustRightInd/>
        <w:snapToGrid/>
        <w:spacing w:line="360" w:lineRule="auto"/>
        <w:ind w:left="510" w:leftChars="243"/>
        <w:jc w:val="both"/>
        <w:textAlignment w:val="auto"/>
        <w:outlineLvl w:val="9"/>
        <w:rPr>
          <w:rFonts w:hint="eastAsia" w:asciiTheme="minorEastAsia" w:hAnsiTheme="minorEastAsia" w:eastAsiaTheme="minorEastAsia" w:cstheme="minorEastAsia"/>
          <w:color w:val="auto"/>
          <w:sz w:val="21"/>
          <w:szCs w:val="21"/>
          <w:highlight w:val="none"/>
        </w:rPr>
      </w:pPr>
      <w:bookmarkStart w:id="63" w:name="OLE_LINK67"/>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w:t>
      </w:r>
      <w:bookmarkStart w:id="64" w:name="OLE_LINK11"/>
      <w:r>
        <w:rPr>
          <w:rFonts w:hint="eastAsia" w:asciiTheme="minorEastAsia" w:hAnsiTheme="minorEastAsia" w:eastAsiaTheme="minorEastAsia" w:cstheme="minorEastAsia"/>
          <w:color w:val="auto"/>
          <w:sz w:val="21"/>
          <w:szCs w:val="21"/>
          <w:highlight w:val="none"/>
          <w:lang w:val="en-US" w:eastAsia="zh-CN"/>
        </w:rPr>
        <w:t>院内</w:t>
      </w:r>
      <w:bookmarkEnd w:id="64"/>
      <w:r>
        <w:rPr>
          <w:rFonts w:hint="eastAsia" w:asciiTheme="minorEastAsia" w:hAnsiTheme="minorEastAsia" w:eastAsiaTheme="minorEastAsia" w:cstheme="minorEastAsia"/>
          <w:color w:val="auto"/>
          <w:sz w:val="21"/>
          <w:szCs w:val="21"/>
          <w:highlight w:val="none"/>
        </w:rPr>
        <w:t>磋商时间：202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下</w:t>
      </w:r>
      <w:r>
        <w:rPr>
          <w:rFonts w:hint="eastAsia" w:asciiTheme="minorEastAsia" w:hAnsiTheme="minorEastAsia" w:eastAsiaTheme="minorEastAsia" w:cstheme="minorEastAsia"/>
          <w:color w:val="auto"/>
          <w:sz w:val="21"/>
          <w:szCs w:val="21"/>
          <w:highlight w:val="none"/>
        </w:rPr>
        <w:t>午</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00</w:t>
      </w:r>
      <w:r>
        <w:rPr>
          <w:rFonts w:hint="eastAsia" w:asciiTheme="minorEastAsia" w:hAnsiTheme="minorEastAsia" w:eastAsiaTheme="minorEastAsia" w:cstheme="minorEastAsia"/>
          <w:color w:val="auto"/>
          <w:sz w:val="21"/>
          <w:szCs w:val="21"/>
          <w:highlight w:val="none"/>
        </w:rPr>
        <w:t>（北京时间）</w:t>
      </w:r>
    </w:p>
    <w:bookmarkEnd w:id="63"/>
    <w:p>
      <w:pPr>
        <w:keepNext w:val="0"/>
        <w:keepLines w:val="0"/>
        <w:pageBreakBefore w:val="0"/>
        <w:kinsoku/>
        <w:wordWrap/>
        <w:overflowPunct/>
        <w:topLinePunct w:val="0"/>
        <w:bidi w:val="0"/>
        <w:adjustRightInd/>
        <w:snapToGrid/>
        <w:spacing w:line="360" w:lineRule="auto"/>
        <w:ind w:left="510" w:leftChars="243"/>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院内</w:t>
      </w:r>
      <w:r>
        <w:rPr>
          <w:rFonts w:hint="eastAsia" w:asciiTheme="minorEastAsia" w:hAnsiTheme="minorEastAsia" w:eastAsiaTheme="minorEastAsia" w:cstheme="minorEastAsia"/>
          <w:color w:val="auto"/>
          <w:sz w:val="21"/>
          <w:szCs w:val="21"/>
          <w:highlight w:val="none"/>
        </w:rPr>
        <w:t>磋商地点：广州市从化区街口街镇北路21号从化区中医医院</w:t>
      </w:r>
      <w:r>
        <w:rPr>
          <w:rFonts w:hint="eastAsia" w:asciiTheme="minorEastAsia" w:hAnsiTheme="minorEastAsia" w:eastAsiaTheme="minorEastAsia" w:cstheme="minorEastAsia"/>
          <w:color w:val="auto"/>
          <w:sz w:val="21"/>
          <w:szCs w:val="21"/>
          <w:highlight w:val="none"/>
          <w:lang w:val="en-US" w:eastAsia="zh-CN"/>
        </w:rPr>
        <w:t>行政楼四楼小会议室</w:t>
      </w:r>
    </w:p>
    <w:p>
      <w:pPr>
        <w:keepNext w:val="0"/>
        <w:keepLines w:val="0"/>
        <w:pageBreakBefore w:val="0"/>
        <w:numPr>
          <w:ilvl w:val="0"/>
          <w:numId w:val="1"/>
        </w:numPr>
        <w:kinsoku/>
        <w:wordWrap/>
        <w:overflowPunct/>
        <w:topLinePunct w:val="0"/>
        <w:bidi w:val="0"/>
        <w:adjustRightInd/>
        <w:snapToGrid/>
        <w:spacing w:line="360" w:lineRule="auto"/>
        <w:ind w:left="0" w:leftChars="0" w:firstLine="420" w:firstLineChars="0"/>
        <w:jc w:val="both"/>
        <w:textAlignment w:val="auto"/>
        <w:outlineLvl w:val="9"/>
        <w:rPr>
          <w:rFonts w:hint="eastAsia" w:asciiTheme="minorEastAsia" w:hAnsiTheme="minorEastAsia" w:eastAsiaTheme="minorEastAsia" w:cstheme="minorEastAsia"/>
          <w:b/>
          <w:color w:val="auto"/>
          <w:sz w:val="21"/>
          <w:szCs w:val="21"/>
          <w:highlight w:val="none"/>
        </w:rPr>
      </w:pPr>
      <w:bookmarkStart w:id="65" w:name="_Toc7558_WPSOffice_Level1"/>
      <w:bookmarkStart w:id="66" w:name="_Toc31564_WPSOffice_Level1"/>
      <w:r>
        <w:rPr>
          <w:rFonts w:hint="eastAsia" w:asciiTheme="minorEastAsia" w:hAnsiTheme="minorEastAsia" w:eastAsiaTheme="minorEastAsia" w:cstheme="minorEastAsia"/>
          <w:b/>
          <w:color w:val="auto"/>
          <w:sz w:val="21"/>
          <w:szCs w:val="21"/>
          <w:highlight w:val="none"/>
        </w:rPr>
        <w:t>联系方式</w:t>
      </w:r>
    </w:p>
    <w:p>
      <w:pPr>
        <w:keepNext w:val="0"/>
        <w:keepLines w:val="0"/>
        <w:pageBreakBefore w:val="0"/>
        <w:kinsoku/>
        <w:wordWrap/>
        <w:overflowPunct/>
        <w:topLinePunct w:val="0"/>
        <w:bidi w:val="0"/>
        <w:adjustRightInd/>
        <w:snapToGrid/>
        <w:spacing w:line="360" w:lineRule="auto"/>
        <w:ind w:left="510" w:leftChars="243"/>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联系人：冯老师</w:t>
      </w:r>
      <w:bookmarkEnd w:id="65"/>
      <w:bookmarkEnd w:id="66"/>
    </w:p>
    <w:p>
      <w:pPr>
        <w:keepNext w:val="0"/>
        <w:keepLines w:val="0"/>
        <w:pageBreakBefore w:val="0"/>
        <w:kinsoku/>
        <w:wordWrap/>
        <w:overflowPunct/>
        <w:topLinePunct w:val="0"/>
        <w:bidi w:val="0"/>
        <w:adjustRightInd/>
        <w:snapToGrid/>
        <w:spacing w:line="360" w:lineRule="auto"/>
        <w:ind w:left="510" w:leftChars="243"/>
        <w:jc w:val="both"/>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联系方式：020-87936130</w:t>
      </w:r>
    </w:p>
    <w:bookmarkEnd w:id="22"/>
    <w:p>
      <w:pPr>
        <w:spacing w:line="360" w:lineRule="auto"/>
        <w:ind w:left="700" w:right="172"/>
        <w:jc w:val="right"/>
        <w:rPr>
          <w:rFonts w:hint="eastAsia" w:ascii="宋体" w:hAnsi="宋体" w:cs="宋体"/>
          <w:b/>
          <w:bCs/>
          <w:color w:val="auto"/>
          <w:szCs w:val="21"/>
          <w:highlight w:val="none"/>
        </w:rPr>
      </w:pPr>
    </w:p>
    <w:p>
      <w:pPr>
        <w:spacing w:line="360" w:lineRule="auto"/>
        <w:ind w:left="700" w:right="172"/>
        <w:jc w:val="right"/>
        <w:rPr>
          <w:rFonts w:hint="eastAsia" w:ascii="宋体" w:hAnsi="宋体" w:cs="宋体"/>
          <w:b/>
          <w:bCs/>
          <w:color w:val="auto"/>
          <w:szCs w:val="21"/>
          <w:highlight w:val="none"/>
        </w:rPr>
      </w:pPr>
    </w:p>
    <w:p>
      <w:pPr>
        <w:spacing w:line="360" w:lineRule="auto"/>
        <w:ind w:left="700" w:right="1384"/>
        <w:jc w:val="right"/>
        <w:rPr>
          <w:rFonts w:ascii="宋体" w:hAnsi="宋体" w:cs="宋体"/>
          <w:b/>
          <w:bCs/>
          <w:color w:val="auto"/>
          <w:szCs w:val="21"/>
          <w:highlight w:val="none"/>
        </w:rPr>
      </w:pPr>
      <w:r>
        <w:rPr>
          <w:rFonts w:hint="eastAsia" w:ascii="宋体" w:hAnsi="宋体" w:cs="宋体"/>
          <w:b/>
          <w:bCs/>
          <w:color w:val="auto"/>
          <w:szCs w:val="21"/>
          <w:highlight w:val="none"/>
        </w:rPr>
        <w:br w:type="page"/>
      </w:r>
    </w:p>
    <w:p>
      <w:pPr>
        <w:pStyle w:val="5"/>
        <w:spacing w:before="0" w:after="0" w:line="480" w:lineRule="auto"/>
        <w:jc w:val="center"/>
        <w:outlineLvl w:val="0"/>
        <w:rPr>
          <w:rFonts w:hint="eastAsia" w:ascii="宋体" w:hAnsi="宋体" w:cs="宋体"/>
          <w:color w:val="auto"/>
          <w:sz w:val="30"/>
          <w:szCs w:val="30"/>
          <w:highlight w:val="none"/>
        </w:rPr>
      </w:pPr>
      <w:bookmarkStart w:id="67" w:name="_Toc2093265"/>
      <w:bookmarkStart w:id="68" w:name="_Toc42394652"/>
      <w:bookmarkStart w:id="69" w:name="_Toc98580273"/>
      <w:bookmarkStart w:id="70" w:name="_Toc101771355"/>
      <w:bookmarkStart w:id="71" w:name="_Toc12861"/>
      <w:bookmarkStart w:id="72" w:name="_Toc101843108"/>
      <w:bookmarkStart w:id="73" w:name="_Toc41723912"/>
      <w:bookmarkStart w:id="74" w:name="_Toc175644385"/>
      <w:bookmarkStart w:id="75" w:name="_Toc98578991"/>
      <w:bookmarkStart w:id="76" w:name="_Toc42394495"/>
      <w:bookmarkStart w:id="77" w:name="_Toc29725_WPSOffice_Level1"/>
      <w:bookmarkStart w:id="78" w:name="_Toc42313150"/>
      <w:bookmarkStart w:id="79" w:name="_Toc26669"/>
      <w:bookmarkStart w:id="80" w:name="_Toc98035084"/>
      <w:bookmarkStart w:id="81" w:name="_Toc101951241"/>
      <w:bookmarkStart w:id="82" w:name="_Toc13906"/>
      <w:bookmarkStart w:id="83" w:name="_Toc98579049"/>
      <w:bookmarkStart w:id="84" w:name="_Toc10669"/>
      <w:bookmarkStart w:id="85" w:name="_Toc5020"/>
      <w:bookmarkStart w:id="86" w:name="_Toc101775108"/>
      <w:bookmarkStart w:id="87" w:name="_Toc98579590"/>
      <w:bookmarkStart w:id="88" w:name="_Toc41884682"/>
      <w:bookmarkStart w:id="89" w:name="_Toc2094404"/>
      <w:bookmarkStart w:id="90" w:name="_Toc46308523"/>
      <w:bookmarkStart w:id="91" w:name="_Toc46308679"/>
      <w:r>
        <w:rPr>
          <w:rFonts w:hint="eastAsia" w:ascii="宋体" w:hAnsi="宋体" w:cs="宋体"/>
          <w:color w:val="auto"/>
          <w:sz w:val="30"/>
          <w:szCs w:val="30"/>
          <w:highlight w:val="none"/>
        </w:rPr>
        <w:t>第一章 供应商须知</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pPr>
        <w:keepNext w:val="0"/>
        <w:keepLines w:val="0"/>
        <w:pageBreakBefore w:val="0"/>
        <w:widowControl/>
        <w:kinsoku/>
        <w:wordWrap/>
        <w:overflowPunct/>
        <w:topLinePunct w:val="0"/>
        <w:autoSpaceDE/>
        <w:autoSpaceDN/>
        <w:bidi w:val="0"/>
        <w:adjustRightInd/>
        <w:snapToGrid/>
        <w:spacing w:line="360" w:lineRule="auto"/>
        <w:ind w:firstLine="371" w:firstLineChars="177"/>
        <w:textAlignment w:val="auto"/>
        <w:outlineLvl w:val="9"/>
        <w:rPr>
          <w:rFonts w:ascii="宋体" w:hAnsi="宋体" w:cs="宋体"/>
          <w:color w:val="auto"/>
          <w:szCs w:val="21"/>
          <w:highlight w:val="none"/>
        </w:rPr>
      </w:pPr>
      <w:r>
        <w:rPr>
          <w:rFonts w:hint="eastAsia" w:ascii="宋体" w:hAnsi="宋体" w:cs="宋体"/>
          <w:color w:val="auto"/>
          <w:szCs w:val="21"/>
          <w:highlight w:val="none"/>
        </w:rPr>
        <w:t>供应商必须认真阅读</w:t>
      </w:r>
      <w:r>
        <w:rPr>
          <w:rFonts w:hint="eastAsia" w:ascii="宋体" w:hAnsi="宋体" w:cs="宋体"/>
          <w:color w:val="auto"/>
          <w:szCs w:val="21"/>
          <w:highlight w:val="none"/>
          <w:lang w:eastAsia="zh-CN"/>
        </w:rPr>
        <w:t>院内磋商文件</w:t>
      </w:r>
      <w:r>
        <w:rPr>
          <w:rFonts w:hint="eastAsia" w:ascii="宋体" w:hAnsi="宋体" w:cs="宋体"/>
          <w:color w:val="auto"/>
          <w:szCs w:val="21"/>
          <w:highlight w:val="none"/>
        </w:rPr>
        <w:t>中所有的事项、格式、条款和采购人需求等。供应商没有按照</w:t>
      </w:r>
      <w:r>
        <w:rPr>
          <w:rFonts w:hint="eastAsia" w:ascii="宋体" w:hAnsi="宋体" w:cs="宋体"/>
          <w:color w:val="auto"/>
          <w:szCs w:val="21"/>
          <w:highlight w:val="none"/>
          <w:lang w:eastAsia="zh-CN"/>
        </w:rPr>
        <w:t>院内磋商文件</w:t>
      </w:r>
      <w:r>
        <w:rPr>
          <w:rFonts w:hint="eastAsia" w:ascii="宋体" w:hAnsi="宋体" w:cs="宋体"/>
          <w:color w:val="auto"/>
          <w:szCs w:val="21"/>
          <w:highlight w:val="none"/>
        </w:rPr>
        <w:t>要求提交全部资料，或者响应文件没有对</w:t>
      </w:r>
      <w:r>
        <w:rPr>
          <w:rFonts w:hint="eastAsia" w:ascii="宋体" w:hAnsi="宋体" w:cs="宋体"/>
          <w:color w:val="auto"/>
          <w:szCs w:val="21"/>
          <w:highlight w:val="none"/>
          <w:lang w:eastAsia="zh-CN"/>
        </w:rPr>
        <w:t>院内磋商文件</w:t>
      </w:r>
      <w:r>
        <w:rPr>
          <w:rFonts w:hint="eastAsia" w:ascii="宋体" w:hAnsi="宋体" w:cs="宋体"/>
          <w:color w:val="auto"/>
          <w:szCs w:val="21"/>
          <w:highlight w:val="none"/>
        </w:rPr>
        <w:t>在各方面都做出实质性响应是供应商的风险，并可能导致其无效响应或被拒绝。</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Ansi="宋体" w:cs="宋体"/>
          <w:b/>
          <w:color w:val="auto"/>
          <w:sz w:val="21"/>
          <w:szCs w:val="21"/>
          <w:highlight w:val="none"/>
        </w:rPr>
      </w:pPr>
      <w:bookmarkStart w:id="92" w:name="_Toc15427"/>
      <w:bookmarkStart w:id="93" w:name="_Toc2094405"/>
      <w:bookmarkStart w:id="94" w:name="_Toc4186"/>
      <w:bookmarkStart w:id="95" w:name="_Toc2093266"/>
      <w:bookmarkStart w:id="96" w:name="_Toc2592059"/>
      <w:bookmarkStart w:id="97" w:name="_Toc19142"/>
      <w:bookmarkStart w:id="98" w:name="_Toc175644386"/>
      <w:r>
        <w:rPr>
          <w:rFonts w:hint="eastAsia" w:hAnsi="宋体" w:cs="宋体"/>
          <w:b/>
          <w:color w:val="auto"/>
          <w:sz w:val="21"/>
          <w:szCs w:val="21"/>
          <w:highlight w:val="none"/>
        </w:rPr>
        <w:t>定义</w:t>
      </w:r>
      <w:bookmarkEnd w:id="92"/>
      <w:bookmarkEnd w:id="93"/>
      <w:bookmarkEnd w:id="94"/>
      <w:bookmarkEnd w:id="95"/>
      <w:bookmarkEnd w:id="96"/>
      <w:bookmarkEnd w:id="97"/>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color w:val="auto"/>
          <w:highlight w:val="none"/>
        </w:rPr>
      </w:pPr>
      <w:bookmarkStart w:id="99" w:name="_Toc2094406"/>
      <w:bookmarkStart w:id="100" w:name="_Toc2093267"/>
      <w:bookmarkStart w:id="101" w:name="_Toc1200"/>
      <w:r>
        <w:rPr>
          <w:rFonts w:hint="eastAsia" w:hAnsi="宋体" w:cs="宋体"/>
          <w:color w:val="auto"/>
          <w:szCs w:val="21"/>
          <w:highlight w:val="none"/>
        </w:rPr>
        <w:t>采购人：</w:t>
      </w:r>
      <w:bookmarkEnd w:id="99"/>
      <w:bookmarkEnd w:id="100"/>
      <w:bookmarkEnd w:id="101"/>
      <w:r>
        <w:rPr>
          <w:rFonts w:hint="eastAsia" w:hAnsi="宋体" w:cs="宋体"/>
          <w:color w:val="auto"/>
          <w:szCs w:val="21"/>
          <w:highlight w:val="none"/>
          <w:lang w:val="en-US" w:eastAsia="zh-CN"/>
        </w:rPr>
        <w:t>广州市从化区中医医院。</w:t>
      </w:r>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color w:val="auto"/>
          <w:szCs w:val="21"/>
          <w:highlight w:val="none"/>
        </w:rPr>
      </w:pPr>
      <w:bookmarkStart w:id="102" w:name="_Toc2093269"/>
      <w:bookmarkStart w:id="103" w:name="_Toc20862"/>
      <w:bookmarkStart w:id="104" w:name="_Toc2094408"/>
      <w:r>
        <w:rPr>
          <w:rFonts w:hint="eastAsia" w:hAnsi="宋体" w:cs="宋体"/>
          <w:color w:val="auto"/>
          <w:szCs w:val="21"/>
          <w:highlight w:val="none"/>
        </w:rPr>
        <w:t>供应商：</w:t>
      </w:r>
      <w:r>
        <w:rPr>
          <w:rFonts w:hint="eastAsia" w:hAnsi="宋体" w:cs="宋体"/>
          <w:color w:val="auto"/>
          <w:szCs w:val="21"/>
          <w:highlight w:val="none"/>
          <w:lang w:val="en-US" w:eastAsia="zh-CN"/>
        </w:rPr>
        <w:t>参与本项目响应</w:t>
      </w:r>
      <w:r>
        <w:rPr>
          <w:rFonts w:hint="eastAsia" w:hAnsi="宋体" w:cs="宋体"/>
          <w:color w:val="auto"/>
          <w:szCs w:val="21"/>
          <w:highlight w:val="none"/>
        </w:rPr>
        <w:t>的法人或者其他组织。</w:t>
      </w:r>
      <w:bookmarkEnd w:id="102"/>
      <w:bookmarkEnd w:id="103"/>
      <w:bookmarkEnd w:id="104"/>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b/>
          <w:color w:val="auto"/>
          <w:szCs w:val="21"/>
          <w:highlight w:val="none"/>
        </w:rPr>
      </w:pPr>
      <w:bookmarkStart w:id="105" w:name="_Toc12343"/>
      <w:bookmarkStart w:id="106" w:name="_Toc2093270"/>
      <w:bookmarkStart w:id="107" w:name="_Toc2094409"/>
      <w:r>
        <w:rPr>
          <w:rFonts w:hint="eastAsia" w:hAnsi="宋体" w:cs="宋体"/>
          <w:color w:val="auto"/>
          <w:szCs w:val="21"/>
          <w:highlight w:val="none"/>
        </w:rPr>
        <w:t>采购合同：是指由采购人和供应商签订的规定双方权利和义务的协议</w:t>
      </w:r>
      <w:r>
        <w:rPr>
          <w:rFonts w:hint="eastAsia" w:hAnsi="宋体" w:cs="宋体"/>
          <w:b/>
          <w:color w:val="auto"/>
          <w:szCs w:val="21"/>
          <w:highlight w:val="none"/>
        </w:rPr>
        <w:t>。</w:t>
      </w:r>
      <w:bookmarkEnd w:id="105"/>
      <w:bookmarkEnd w:id="106"/>
      <w:bookmarkEnd w:id="107"/>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Ansi="宋体" w:cs="宋体"/>
          <w:b/>
          <w:color w:val="auto"/>
          <w:sz w:val="21"/>
          <w:szCs w:val="21"/>
          <w:highlight w:val="none"/>
        </w:rPr>
      </w:pPr>
      <w:bookmarkStart w:id="108" w:name="_Toc2094410"/>
      <w:bookmarkStart w:id="109" w:name="_Toc2093271"/>
      <w:bookmarkStart w:id="110" w:name="_Toc18297"/>
      <w:bookmarkStart w:id="111" w:name="_Toc510"/>
      <w:bookmarkStart w:id="112" w:name="_Toc2592060"/>
      <w:bookmarkStart w:id="113" w:name="_Toc32437"/>
      <w:r>
        <w:rPr>
          <w:rFonts w:hint="eastAsia" w:hAnsi="宋体" w:cs="宋体"/>
          <w:b/>
          <w:color w:val="auto"/>
          <w:sz w:val="21"/>
          <w:szCs w:val="21"/>
          <w:highlight w:val="none"/>
        </w:rPr>
        <w:t>一般要求</w:t>
      </w:r>
      <w:bookmarkEnd w:id="98"/>
      <w:bookmarkEnd w:id="108"/>
      <w:bookmarkEnd w:id="109"/>
      <w:bookmarkEnd w:id="110"/>
      <w:bookmarkEnd w:id="111"/>
      <w:bookmarkEnd w:id="112"/>
      <w:bookmarkEnd w:id="113"/>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b/>
          <w:color w:val="auto"/>
          <w:szCs w:val="21"/>
          <w:highlight w:val="none"/>
        </w:rPr>
      </w:pPr>
      <w:bookmarkStart w:id="114" w:name="_Toc101843113"/>
      <w:bookmarkStart w:id="115" w:name="_Toc101771360"/>
      <w:bookmarkStart w:id="116" w:name="_Toc50276143"/>
      <w:bookmarkStart w:id="117" w:name="_Toc134956120"/>
      <w:bookmarkStart w:id="118" w:name="_Toc42313157"/>
      <w:bookmarkStart w:id="119" w:name="_Toc42394502"/>
      <w:bookmarkStart w:id="120" w:name="_Toc101775113"/>
      <w:bookmarkStart w:id="121" w:name="_Toc14461"/>
      <w:bookmarkStart w:id="122" w:name="_Toc2094414"/>
      <w:bookmarkStart w:id="123" w:name="_Toc2093275"/>
      <w:bookmarkStart w:id="124" w:name="_Toc98579055"/>
      <w:bookmarkStart w:id="125" w:name="_Toc101951246"/>
      <w:bookmarkStart w:id="126" w:name="_Toc98580279"/>
      <w:bookmarkStart w:id="127" w:name="_Toc98579596"/>
      <w:bookmarkStart w:id="128" w:name="_Toc42394659"/>
      <w:bookmarkStart w:id="129" w:name="_Toc98578997"/>
      <w:r>
        <w:rPr>
          <w:rFonts w:hint="eastAsia" w:hAnsi="宋体" w:cs="宋体"/>
          <w:b/>
          <w:color w:val="auto"/>
          <w:szCs w:val="21"/>
          <w:highlight w:val="none"/>
          <w:lang w:eastAsia="zh-CN"/>
        </w:rPr>
        <w:t>院内磋商文件</w:t>
      </w:r>
      <w:r>
        <w:rPr>
          <w:rFonts w:hint="eastAsia" w:hAnsi="宋体" w:cs="宋体"/>
          <w:b/>
          <w:color w:val="auto"/>
          <w:szCs w:val="21"/>
          <w:highlight w:val="none"/>
        </w:rPr>
        <w:t>的</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rFonts w:hint="eastAsia" w:hAnsi="宋体" w:cs="宋体"/>
          <w:b/>
          <w:color w:val="auto"/>
          <w:szCs w:val="21"/>
          <w:highlight w:val="none"/>
        </w:rPr>
        <w:t>疑问、质疑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textAlignment w:val="auto"/>
        <w:outlineLvl w:val="9"/>
        <w:rPr>
          <w:rFonts w:hAnsi="宋体" w:cs="宋体"/>
          <w:color w:val="auto"/>
          <w:szCs w:val="21"/>
          <w:highlight w:val="none"/>
        </w:rPr>
      </w:pPr>
      <w:bookmarkStart w:id="130" w:name="_Toc2094417"/>
      <w:bookmarkStart w:id="131" w:name="_Toc24020"/>
      <w:bookmarkStart w:id="132" w:name="_Toc2093278"/>
      <w:r>
        <w:rPr>
          <w:rFonts w:hint="eastAsia" w:hAnsi="宋体" w:cs="宋体"/>
          <w:color w:val="auto"/>
          <w:szCs w:val="21"/>
          <w:highlight w:val="none"/>
        </w:rPr>
        <w:t>供应商在</w:t>
      </w:r>
      <w:r>
        <w:rPr>
          <w:rFonts w:hint="eastAsia" w:hAnsi="宋体" w:cs="宋体"/>
          <w:color w:val="auto"/>
          <w:szCs w:val="21"/>
          <w:highlight w:val="none"/>
          <w:lang w:val="en-US" w:eastAsia="zh-CN"/>
        </w:rPr>
        <w:t>报名截止时间前</w:t>
      </w:r>
      <w:r>
        <w:rPr>
          <w:rFonts w:hint="eastAsia" w:hAnsi="宋体" w:cs="宋体"/>
          <w:color w:val="auto"/>
          <w:szCs w:val="21"/>
          <w:highlight w:val="none"/>
        </w:rPr>
        <w:t>未对</w:t>
      </w:r>
      <w:r>
        <w:rPr>
          <w:rFonts w:hint="eastAsia" w:hAnsi="宋体" w:cs="宋体"/>
          <w:color w:val="auto"/>
          <w:szCs w:val="21"/>
          <w:highlight w:val="none"/>
          <w:lang w:eastAsia="zh-CN"/>
        </w:rPr>
        <w:t>院内磋商文件</w:t>
      </w:r>
      <w:r>
        <w:rPr>
          <w:rFonts w:hint="eastAsia" w:hAnsi="宋体" w:cs="宋体"/>
          <w:color w:val="auto"/>
          <w:szCs w:val="21"/>
          <w:highlight w:val="none"/>
        </w:rPr>
        <w:t>提出疑问、质疑或要求澄清的，将视其为无异议。对</w:t>
      </w:r>
      <w:r>
        <w:rPr>
          <w:rFonts w:hint="eastAsia" w:hAnsi="宋体" w:cs="宋体"/>
          <w:color w:val="auto"/>
          <w:szCs w:val="21"/>
          <w:highlight w:val="none"/>
          <w:lang w:eastAsia="zh-CN"/>
        </w:rPr>
        <w:t>院内磋商文件</w:t>
      </w:r>
      <w:r>
        <w:rPr>
          <w:rFonts w:hint="eastAsia" w:hAnsi="宋体" w:cs="宋体"/>
          <w:color w:val="auto"/>
          <w:szCs w:val="21"/>
          <w:highlight w:val="none"/>
        </w:rPr>
        <w:t>中描述有歧义或前后不一致的地方，磋商小组有权进行评判，但对同一条款的评判应适用于每个供应商。</w:t>
      </w:r>
      <w:bookmarkEnd w:id="130"/>
      <w:bookmarkEnd w:id="131"/>
      <w:bookmarkEnd w:id="132"/>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b/>
          <w:color w:val="auto"/>
          <w:szCs w:val="21"/>
          <w:highlight w:val="none"/>
        </w:rPr>
      </w:pPr>
      <w:bookmarkStart w:id="133" w:name="_Toc2093279"/>
      <w:bookmarkStart w:id="134" w:name="_Toc2094418"/>
      <w:bookmarkStart w:id="135" w:name="_Toc134956121"/>
      <w:bookmarkStart w:id="136" w:name="_Toc18930"/>
      <w:r>
        <w:rPr>
          <w:rFonts w:hint="eastAsia" w:hAnsi="宋体" w:cs="宋体"/>
          <w:b/>
          <w:color w:val="auto"/>
          <w:szCs w:val="21"/>
          <w:highlight w:val="none"/>
        </w:rPr>
        <w:t>知识产权</w:t>
      </w:r>
      <w:bookmarkEnd w:id="133"/>
      <w:bookmarkEnd w:id="134"/>
      <w:bookmarkEnd w:id="135"/>
      <w:bookmarkEnd w:id="136"/>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lang w:val="en-GB"/>
        </w:rPr>
      </w:pPr>
      <w:bookmarkStart w:id="137" w:name="_Toc2094419"/>
      <w:bookmarkStart w:id="138" w:name="_Toc11399"/>
      <w:bookmarkStart w:id="139" w:name="_Toc2093280"/>
      <w:r>
        <w:rPr>
          <w:rFonts w:hint="eastAsia" w:hAnsi="宋体" w:cs="宋体"/>
          <w:color w:val="auto"/>
          <w:szCs w:val="21"/>
          <w:highlight w:val="none"/>
        </w:rPr>
        <w:t>供应商必须保证，采购人在中华人民共和国境内使用报价货物、资料、技术、服务或其任何一部分时，享有不受限制的无偿使用权，如有第三方向采购人提出侵犯其专利权、商标权或其它知识产权的主张，该责任应由供应商承担。</w:t>
      </w:r>
      <w:bookmarkEnd w:id="137"/>
      <w:bookmarkEnd w:id="138"/>
      <w:bookmarkEnd w:id="139"/>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rPr>
      </w:pPr>
      <w:bookmarkStart w:id="140" w:name="_Toc2094420"/>
      <w:bookmarkStart w:id="141" w:name="_Toc2093281"/>
      <w:bookmarkStart w:id="142" w:name="_Toc9126"/>
      <w:r>
        <w:rPr>
          <w:rFonts w:hint="eastAsia" w:hAnsi="宋体" w:cs="宋体"/>
          <w:color w:val="auto"/>
          <w:szCs w:val="21"/>
          <w:highlight w:val="none"/>
        </w:rPr>
        <w:t>报价应包含所有应向所有权人支付的专利权、商标权或其它知识产权的一切相关费用。</w:t>
      </w:r>
      <w:bookmarkEnd w:id="140"/>
      <w:bookmarkEnd w:id="141"/>
      <w:bookmarkEnd w:id="142"/>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b/>
          <w:bCs/>
          <w:color w:val="auto"/>
          <w:szCs w:val="21"/>
          <w:highlight w:val="none"/>
        </w:rPr>
      </w:pPr>
      <w:bookmarkStart w:id="143" w:name="_Toc98579595"/>
      <w:bookmarkStart w:id="144" w:name="_Toc42394501"/>
      <w:bookmarkStart w:id="145" w:name="_Toc21959"/>
      <w:bookmarkStart w:id="146" w:name="_Toc101775114"/>
      <w:bookmarkStart w:id="147" w:name="_Toc41723918"/>
      <w:bookmarkStart w:id="148" w:name="_Toc2094421"/>
      <w:bookmarkStart w:id="149" w:name="_Toc98579054"/>
      <w:bookmarkStart w:id="150" w:name="_Toc101951247"/>
      <w:bookmarkStart w:id="151" w:name="_Toc41884688"/>
      <w:bookmarkStart w:id="152" w:name="_Toc98578996"/>
      <w:bookmarkStart w:id="153" w:name="_Toc101843114"/>
      <w:bookmarkStart w:id="154" w:name="_Toc98580278"/>
      <w:bookmarkStart w:id="155" w:name="_Toc42313156"/>
      <w:bookmarkStart w:id="156" w:name="_Toc134956122"/>
      <w:bookmarkStart w:id="157" w:name="_Toc2093282"/>
      <w:bookmarkStart w:id="158" w:name="_Toc101771361"/>
      <w:bookmarkStart w:id="159" w:name="_Toc42394658"/>
      <w:bookmarkStart w:id="160" w:name="_Toc50276142"/>
      <w:r>
        <w:rPr>
          <w:rFonts w:hint="eastAsia" w:hAnsi="宋体" w:cs="宋体"/>
          <w:b/>
          <w:color w:val="auto"/>
          <w:szCs w:val="21"/>
          <w:highlight w:val="none"/>
        </w:rPr>
        <w:t>纪律与保密事项</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rPr>
      </w:pPr>
      <w:bookmarkStart w:id="161" w:name="_Toc2094422"/>
      <w:bookmarkStart w:id="162" w:name="_Toc3184"/>
      <w:bookmarkStart w:id="163" w:name="_Toc2093283"/>
      <w:bookmarkStart w:id="164" w:name="OLE_LINK68"/>
      <w:r>
        <w:rPr>
          <w:rFonts w:hint="eastAsia" w:hAnsi="宋体" w:cs="宋体"/>
          <w:color w:val="auto"/>
          <w:szCs w:val="21"/>
          <w:highlight w:val="none"/>
        </w:rPr>
        <w:t>供应商不得相互串通报价，不得妨碍其他供应商的公平竞争，不得损害采购人或其他供应商的合法权益，供应商不得以向采购人、磋商小组成员行贿或者采取其他不正当手段谋取成交。</w:t>
      </w:r>
      <w:bookmarkEnd w:id="161"/>
      <w:bookmarkEnd w:id="162"/>
      <w:bookmarkEnd w:id="163"/>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rPr>
      </w:pPr>
      <w:bookmarkStart w:id="165" w:name="_Toc5880"/>
      <w:bookmarkStart w:id="166" w:name="_Toc2093284"/>
      <w:bookmarkStart w:id="167" w:name="_Toc2094423"/>
      <w:r>
        <w:rPr>
          <w:rFonts w:hint="eastAsia" w:hAnsi="宋体" w:cs="宋体"/>
          <w:color w:val="auto"/>
          <w:szCs w:val="21"/>
          <w:highlight w:val="none"/>
        </w:rPr>
        <w:t>接受</w:t>
      </w:r>
      <w:r>
        <w:rPr>
          <w:rFonts w:hint="eastAsia" w:hAnsi="宋体" w:cs="宋体"/>
          <w:color w:val="auto"/>
          <w:szCs w:val="21"/>
          <w:highlight w:val="none"/>
          <w:lang w:val="en-US" w:eastAsia="zh-CN"/>
        </w:rPr>
        <w:t>院内</w:t>
      </w:r>
      <w:r>
        <w:rPr>
          <w:rFonts w:hint="eastAsia" w:hAnsi="宋体" w:cs="宋体"/>
          <w:color w:val="auto"/>
          <w:szCs w:val="21"/>
          <w:highlight w:val="none"/>
        </w:rPr>
        <w:t>磋商后，直至成交供应商与买方签订合同后止，凡与谈判、审查、澄清、评价、比较意见有关的内容，任何人均不得向报价人及与评审无关的其他人透露。</w:t>
      </w:r>
      <w:bookmarkEnd w:id="165"/>
      <w:bookmarkEnd w:id="166"/>
      <w:bookmarkEnd w:id="167"/>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rPr>
      </w:pPr>
      <w:bookmarkStart w:id="168" w:name="_Toc31685"/>
      <w:bookmarkStart w:id="169" w:name="_Toc2093285"/>
      <w:bookmarkStart w:id="170" w:name="_Toc2094424"/>
      <w:r>
        <w:rPr>
          <w:rFonts w:hint="eastAsia" w:hAnsi="宋体" w:cs="宋体"/>
          <w:color w:val="auto"/>
          <w:szCs w:val="21"/>
          <w:highlight w:val="none"/>
        </w:rPr>
        <w:t>在确定成交供应商之前，供应商试图在响应文件审查、澄清、比较和评价时对磋商小组、采购人施加任何影响都可能导致其响应无效。</w:t>
      </w:r>
      <w:bookmarkEnd w:id="168"/>
      <w:bookmarkEnd w:id="169"/>
      <w:bookmarkEnd w:id="170"/>
    </w:p>
    <w:bookmarkEnd w:id="164"/>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hAnsi="宋体" w:cs="宋体"/>
          <w:color w:val="auto"/>
          <w:szCs w:val="21"/>
          <w:highlight w:val="none"/>
        </w:rPr>
      </w:pPr>
      <w:bookmarkStart w:id="171" w:name="_Toc2093286"/>
      <w:bookmarkStart w:id="172" w:name="_Toc20571"/>
      <w:bookmarkStart w:id="173" w:name="_Toc2094425"/>
      <w:r>
        <w:rPr>
          <w:rFonts w:hint="eastAsia" w:hAnsi="宋体" w:cs="宋体"/>
          <w:color w:val="auto"/>
          <w:szCs w:val="21"/>
          <w:highlight w:val="none"/>
        </w:rPr>
        <w:t>获取本</w:t>
      </w:r>
      <w:r>
        <w:rPr>
          <w:rFonts w:hint="eastAsia" w:hAnsi="宋体" w:cs="宋体"/>
          <w:color w:val="auto"/>
          <w:szCs w:val="21"/>
          <w:highlight w:val="none"/>
          <w:lang w:eastAsia="zh-CN"/>
        </w:rPr>
        <w:t>院内磋商文件</w:t>
      </w:r>
      <w:r>
        <w:rPr>
          <w:rFonts w:hint="eastAsia" w:hAnsi="宋体" w:cs="宋体"/>
          <w:color w:val="auto"/>
          <w:szCs w:val="21"/>
          <w:highlight w:val="none"/>
        </w:rPr>
        <w:t>者，不得将</w:t>
      </w:r>
      <w:r>
        <w:rPr>
          <w:rFonts w:hint="eastAsia" w:hAnsi="宋体" w:cs="宋体"/>
          <w:color w:val="auto"/>
          <w:szCs w:val="21"/>
          <w:highlight w:val="none"/>
          <w:lang w:eastAsia="zh-CN"/>
        </w:rPr>
        <w:t>院内磋商文件</w:t>
      </w:r>
      <w:r>
        <w:rPr>
          <w:rFonts w:hint="eastAsia" w:hAnsi="宋体" w:cs="宋体"/>
          <w:color w:val="auto"/>
          <w:szCs w:val="21"/>
          <w:highlight w:val="none"/>
        </w:rPr>
        <w:t>用作本次报价以外的任何用途。</w:t>
      </w:r>
      <w:bookmarkEnd w:id="171"/>
      <w:bookmarkEnd w:id="172"/>
      <w:bookmarkEnd w:id="173"/>
    </w:p>
    <w:p>
      <w:pPr>
        <w:keepNext w:val="0"/>
        <w:keepLines w:val="0"/>
        <w:pageBreakBefore w:val="0"/>
        <w:widowControl/>
        <w:numPr>
          <w:ilvl w:val="2"/>
          <w:numId w:val="3"/>
        </w:numPr>
        <w:kinsoku/>
        <w:wordWrap/>
        <w:overflowPunct/>
        <w:topLinePunct w:val="0"/>
        <w:autoSpaceDE/>
        <w:autoSpaceDN/>
        <w:bidi w:val="0"/>
        <w:adjustRightInd/>
        <w:snapToGrid/>
        <w:spacing w:line="360" w:lineRule="auto"/>
        <w:ind w:left="1407" w:leftChars="0" w:hanging="567" w:firstLineChars="0"/>
        <w:textAlignment w:val="auto"/>
        <w:outlineLvl w:val="9"/>
        <w:rPr>
          <w:rFonts w:ascii="宋体" w:hAnsi="宋体" w:cs="宋体"/>
          <w:color w:val="auto"/>
          <w:szCs w:val="21"/>
          <w:highlight w:val="none"/>
        </w:rPr>
      </w:pPr>
      <w:bookmarkStart w:id="174" w:name="_Toc2093287"/>
      <w:bookmarkStart w:id="175" w:name="_Toc22802"/>
      <w:bookmarkStart w:id="176" w:name="_Toc2094426"/>
      <w:r>
        <w:rPr>
          <w:rFonts w:hint="eastAsia" w:hAnsi="宋体" w:cs="宋体"/>
          <w:color w:val="auto"/>
          <w:szCs w:val="21"/>
          <w:highlight w:val="none"/>
        </w:rPr>
        <w:t>由采购人向供应商提供的图纸、详细资料、样品、模型、模件和所有其它资料，均为保密资料，仅被用于它所规定的用途。除非得到采购人的同意，不能向任何第三方透露。</w:t>
      </w:r>
      <w:bookmarkEnd w:id="174"/>
      <w:bookmarkEnd w:id="175"/>
      <w:bookmarkEnd w:id="176"/>
      <w:bookmarkStart w:id="177" w:name="_Toc101771362"/>
      <w:bookmarkStart w:id="178" w:name="_Toc101951248"/>
      <w:bookmarkStart w:id="179" w:name="_Toc101843115"/>
      <w:bookmarkStart w:id="180" w:name="_Toc101775115"/>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Ansi="宋体" w:cs="宋体"/>
          <w:b/>
          <w:color w:val="auto"/>
          <w:sz w:val="21"/>
          <w:szCs w:val="21"/>
          <w:highlight w:val="none"/>
        </w:rPr>
      </w:pPr>
      <w:bookmarkStart w:id="181" w:name="_Toc2093290"/>
      <w:bookmarkStart w:id="182" w:name="_Toc134956124"/>
      <w:bookmarkStart w:id="183" w:name="_Toc1370"/>
      <w:bookmarkStart w:id="184" w:name="_Toc25757"/>
      <w:bookmarkStart w:id="185" w:name="_Toc2094429"/>
      <w:bookmarkStart w:id="186" w:name="_Toc2592061"/>
      <w:bookmarkStart w:id="187" w:name="_Toc30392"/>
      <w:r>
        <w:rPr>
          <w:rFonts w:hint="eastAsia" w:hAnsi="宋体" w:cs="宋体"/>
          <w:b/>
          <w:color w:val="auto"/>
          <w:sz w:val="21"/>
          <w:szCs w:val="21"/>
          <w:highlight w:val="none"/>
        </w:rPr>
        <w:t>质疑与投诉</w:t>
      </w:r>
      <w:bookmarkEnd w:id="181"/>
      <w:bookmarkEnd w:id="182"/>
      <w:bookmarkEnd w:id="183"/>
      <w:bookmarkEnd w:id="184"/>
      <w:bookmarkEnd w:id="185"/>
      <w:bookmarkEnd w:id="186"/>
      <w:bookmarkEnd w:id="187"/>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color w:val="auto"/>
          <w:szCs w:val="21"/>
          <w:highlight w:val="none"/>
          <w:lang w:val="en-GB"/>
        </w:rPr>
      </w:pPr>
      <w:bookmarkStart w:id="188" w:name="_Toc2094430"/>
      <w:bookmarkStart w:id="189" w:name="_Toc2093291"/>
      <w:bookmarkStart w:id="190" w:name="_Toc12150"/>
      <w:bookmarkStart w:id="191" w:name="_Toc134955411"/>
      <w:r>
        <w:rPr>
          <w:rFonts w:hint="eastAsia" w:hAnsi="宋体" w:cs="宋体"/>
          <w:color w:val="auto"/>
          <w:szCs w:val="21"/>
          <w:highlight w:val="none"/>
        </w:rPr>
        <w:t>供应商对本采购活动事项有疑问的，可以向采购人提出询问，采购人应及时作出答复，但答复的内容不涉及商业秘密。</w:t>
      </w:r>
      <w:bookmarkEnd w:id="188"/>
      <w:bookmarkEnd w:id="189"/>
      <w:bookmarkEnd w:id="190"/>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color w:val="auto"/>
          <w:szCs w:val="21"/>
          <w:highlight w:val="none"/>
          <w:lang w:val="en-GB"/>
        </w:rPr>
      </w:pPr>
      <w:bookmarkStart w:id="192" w:name="_Toc9681"/>
      <w:bookmarkStart w:id="193" w:name="_Toc2094431"/>
      <w:bookmarkStart w:id="194" w:name="_Toc2093292"/>
      <w:bookmarkStart w:id="195" w:name="OLE_LINK69"/>
      <w:r>
        <w:rPr>
          <w:rFonts w:hint="eastAsia" w:hAnsi="宋体" w:cs="宋体"/>
          <w:color w:val="auto"/>
          <w:szCs w:val="21"/>
          <w:highlight w:val="none"/>
        </w:rPr>
        <w:t>供应商认为</w:t>
      </w:r>
      <w:r>
        <w:rPr>
          <w:rFonts w:hint="eastAsia" w:hAnsi="宋体" w:cs="宋体"/>
          <w:color w:val="auto"/>
          <w:szCs w:val="21"/>
          <w:highlight w:val="none"/>
          <w:lang w:eastAsia="zh-CN"/>
        </w:rPr>
        <w:t>院内磋商文件</w:t>
      </w:r>
      <w:r>
        <w:rPr>
          <w:rFonts w:hint="eastAsia" w:hAnsi="宋体" w:cs="宋体"/>
          <w:color w:val="auto"/>
          <w:szCs w:val="21"/>
          <w:highlight w:val="none"/>
        </w:rPr>
        <w:t>的内容损害其权益的，可以在</w:t>
      </w:r>
      <w:r>
        <w:rPr>
          <w:rFonts w:hint="eastAsia" w:hAnsi="宋体" w:cs="宋体"/>
          <w:color w:val="auto"/>
          <w:szCs w:val="21"/>
          <w:highlight w:val="none"/>
          <w:lang w:eastAsia="zh-CN"/>
        </w:rPr>
        <w:t>院内磋商文件</w:t>
      </w:r>
      <w:r>
        <w:rPr>
          <w:rFonts w:hint="eastAsia" w:hAnsi="宋体" w:cs="宋体"/>
          <w:color w:val="auto"/>
          <w:szCs w:val="21"/>
          <w:highlight w:val="none"/>
        </w:rPr>
        <w:t>公示期间或者自期满之日起</w:t>
      </w:r>
      <w:r>
        <w:rPr>
          <w:rFonts w:hint="eastAsia" w:hAnsi="宋体" w:cs="宋体"/>
          <w:color w:val="auto"/>
          <w:szCs w:val="21"/>
          <w:highlight w:val="none"/>
          <w:lang w:val="en-US" w:eastAsia="zh-CN"/>
        </w:rPr>
        <w:t>5</w:t>
      </w:r>
      <w:r>
        <w:rPr>
          <w:rFonts w:hint="eastAsia" w:hAnsi="宋体" w:cs="宋体"/>
          <w:color w:val="auto"/>
          <w:szCs w:val="21"/>
          <w:highlight w:val="none"/>
        </w:rPr>
        <w:t>个工作日内以书面形式向采购人提出质疑，逾期质疑无效。</w:t>
      </w:r>
      <w:bookmarkEnd w:id="192"/>
      <w:bookmarkEnd w:id="193"/>
      <w:bookmarkEnd w:id="194"/>
    </w:p>
    <w:bookmarkEnd w:id="195"/>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color w:val="auto"/>
          <w:szCs w:val="21"/>
          <w:highlight w:val="none"/>
          <w:lang w:val="en-GB"/>
        </w:rPr>
      </w:pPr>
      <w:bookmarkStart w:id="196" w:name="_Toc13314"/>
      <w:bookmarkStart w:id="197" w:name="_Toc2093293"/>
      <w:bookmarkStart w:id="198" w:name="_Toc2094432"/>
      <w:r>
        <w:rPr>
          <w:rFonts w:hint="eastAsia" w:hAnsi="宋体" w:cs="宋体"/>
          <w:color w:val="auto"/>
          <w:szCs w:val="21"/>
          <w:highlight w:val="none"/>
        </w:rPr>
        <w:t>供应商认为采购过程和</w:t>
      </w:r>
      <w:r>
        <w:rPr>
          <w:rFonts w:hint="eastAsia" w:hAnsi="宋体" w:cs="宋体"/>
          <w:color w:val="auto"/>
          <w:szCs w:val="21"/>
          <w:highlight w:val="none"/>
          <w:lang w:val="en-US" w:eastAsia="zh-CN"/>
        </w:rPr>
        <w:t>评审</w:t>
      </w:r>
      <w:r>
        <w:rPr>
          <w:rFonts w:hint="eastAsia" w:hAnsi="宋体" w:cs="宋体"/>
          <w:color w:val="auto"/>
          <w:szCs w:val="21"/>
          <w:highlight w:val="none"/>
        </w:rPr>
        <w:t>结果使自己的权益受到损害的，可以在知道或者应知其权益受到损害之日起7个工作日内，以书面形式向采购人提出质疑，逾期质疑无效。</w:t>
      </w:r>
      <w:bookmarkEnd w:id="191"/>
      <w:bookmarkEnd w:id="196"/>
      <w:bookmarkEnd w:id="197"/>
      <w:bookmarkEnd w:id="198"/>
    </w:p>
    <w:p>
      <w:pPr>
        <w:keepNext w:val="0"/>
        <w:keepLines w:val="0"/>
        <w:pageBreakBefore w:val="0"/>
        <w:widowControl/>
        <w:numPr>
          <w:ilvl w:val="1"/>
          <w:numId w:val="3"/>
        </w:numPr>
        <w:kinsoku/>
        <w:wordWrap/>
        <w:overflowPunct/>
        <w:topLinePunct w:val="0"/>
        <w:autoSpaceDE/>
        <w:autoSpaceDN/>
        <w:bidi w:val="0"/>
        <w:adjustRightInd/>
        <w:snapToGrid/>
        <w:spacing w:line="360" w:lineRule="auto"/>
        <w:ind w:left="1129" w:leftChars="0" w:hanging="567" w:firstLineChars="0"/>
        <w:textAlignment w:val="auto"/>
        <w:outlineLvl w:val="9"/>
        <w:rPr>
          <w:rFonts w:hAnsi="宋体" w:cs="宋体"/>
          <w:color w:val="auto"/>
          <w:szCs w:val="21"/>
          <w:highlight w:val="none"/>
        </w:rPr>
      </w:pPr>
      <w:bookmarkStart w:id="199" w:name="_Toc2093294"/>
      <w:bookmarkStart w:id="200" w:name="_Toc2094433"/>
      <w:bookmarkStart w:id="201" w:name="_Toc5081"/>
      <w:r>
        <w:rPr>
          <w:rStyle w:val="160"/>
          <w:rFonts w:hint="eastAsia" w:hAnsi="宋体" w:cs="宋体"/>
          <w:color w:val="auto"/>
          <w:szCs w:val="21"/>
          <w:highlight w:val="none"/>
        </w:rPr>
        <w:t>质疑函应当署名。质疑供应商为自然人的，应当由本人签字；质疑供应商为法人或者其他组织的，应当由法定代表人或者主要负责人签字盖章并加盖公章。</w:t>
      </w:r>
      <w:r>
        <w:rPr>
          <w:rFonts w:hint="eastAsia" w:hAnsi="宋体" w:cs="宋体"/>
          <w:color w:val="auto"/>
          <w:szCs w:val="21"/>
          <w:highlight w:val="none"/>
        </w:rPr>
        <w:t>质疑内容不得含有虚假</w:t>
      </w:r>
      <w:r>
        <w:rPr>
          <w:rFonts w:hint="eastAsia" w:hAnsi="宋体" w:cs="宋体"/>
          <w:color w:val="auto"/>
          <w:szCs w:val="21"/>
          <w:highlight w:val="none"/>
          <w:lang w:val="en-GB"/>
        </w:rPr>
        <w:t>、恶意成份。依照谁主张谁举证的原则，提出质疑者必须同时提交相关确凿的证据材料和</w:t>
      </w:r>
      <w:r>
        <w:rPr>
          <w:rFonts w:hint="eastAsia" w:hAnsi="宋体" w:cs="宋体"/>
          <w:color w:val="auto"/>
          <w:szCs w:val="21"/>
          <w:highlight w:val="none"/>
        </w:rPr>
        <w:t>注明证据的确切来源，证据来源必须合法，采购</w:t>
      </w:r>
      <w:r>
        <w:rPr>
          <w:rFonts w:hint="eastAsia" w:hAnsi="宋体" w:cs="宋体"/>
          <w:color w:val="auto"/>
          <w:szCs w:val="21"/>
          <w:highlight w:val="none"/>
          <w:lang w:val="en-US" w:eastAsia="zh-CN"/>
        </w:rPr>
        <w:t>人</w:t>
      </w:r>
      <w:r>
        <w:rPr>
          <w:rFonts w:hint="eastAsia" w:hAnsi="宋体" w:cs="宋体"/>
          <w:color w:val="auto"/>
          <w:szCs w:val="21"/>
          <w:highlight w:val="none"/>
        </w:rPr>
        <w:t>有权将质疑函转发质疑事项各关联方，请其作出解释说明。</w:t>
      </w:r>
      <w:r>
        <w:rPr>
          <w:rFonts w:hint="eastAsia" w:hAnsi="宋体" w:cs="宋体"/>
          <w:color w:val="auto"/>
          <w:szCs w:val="21"/>
          <w:highlight w:val="none"/>
          <w:lang w:val="en-GB"/>
        </w:rPr>
        <w:t>对捏造事实、滥用维权扰乱采购秩序的恶意质疑者，</w:t>
      </w:r>
      <w:r>
        <w:rPr>
          <w:rFonts w:hint="eastAsia" w:hAnsi="宋体" w:cs="宋体"/>
          <w:color w:val="auto"/>
          <w:szCs w:val="21"/>
          <w:highlight w:val="none"/>
        </w:rPr>
        <w:t>将</w:t>
      </w:r>
      <w:r>
        <w:rPr>
          <w:rFonts w:hint="eastAsia" w:hAnsi="宋体" w:cs="宋体"/>
          <w:color w:val="auto"/>
          <w:szCs w:val="21"/>
          <w:highlight w:val="none"/>
          <w:lang w:val="en-US" w:eastAsia="zh-CN"/>
        </w:rPr>
        <w:t>纳入不良供应商处理</w:t>
      </w:r>
      <w:r>
        <w:rPr>
          <w:rFonts w:hint="eastAsia" w:hAnsi="宋体" w:cs="宋体"/>
          <w:color w:val="auto"/>
          <w:szCs w:val="21"/>
          <w:highlight w:val="none"/>
          <w:lang w:val="en-GB"/>
        </w:rPr>
        <w:t>。</w:t>
      </w:r>
      <w:bookmarkEnd w:id="177"/>
      <w:bookmarkEnd w:id="178"/>
      <w:bookmarkEnd w:id="179"/>
      <w:bookmarkEnd w:id="180"/>
      <w:bookmarkEnd w:id="199"/>
      <w:bookmarkEnd w:id="200"/>
      <w:bookmarkEnd w:id="201"/>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int="eastAsia" w:hAnsi="宋体" w:cs="宋体"/>
          <w:b/>
          <w:color w:val="auto"/>
          <w:sz w:val="21"/>
          <w:szCs w:val="21"/>
          <w:highlight w:val="none"/>
        </w:rPr>
      </w:pPr>
      <w:bookmarkStart w:id="202" w:name="_Toc15852"/>
      <w:bookmarkStart w:id="203" w:name="_Toc40762370"/>
      <w:bookmarkStart w:id="204" w:name="_Toc46308683"/>
      <w:bookmarkStart w:id="205" w:name="_Toc50276156"/>
      <w:bookmarkStart w:id="206" w:name="_Toc98035088"/>
      <w:bookmarkStart w:id="207" w:name="_Toc46308527"/>
      <w:bookmarkStart w:id="208" w:name="_Toc37569519"/>
      <w:bookmarkStart w:id="209" w:name="_Toc98579010"/>
      <w:bookmarkStart w:id="210" w:name="_Toc37581420"/>
      <w:bookmarkStart w:id="211" w:name="_Toc50276195"/>
      <w:bookmarkStart w:id="212" w:name="_Toc37663391"/>
      <w:bookmarkStart w:id="213" w:name="_Toc98579068"/>
      <w:bookmarkStart w:id="214" w:name="_Toc37331038"/>
      <w:bookmarkStart w:id="215" w:name="_Toc98579609"/>
      <w:bookmarkStart w:id="216" w:name="_Toc37331080"/>
      <w:bookmarkStart w:id="217" w:name="_Toc98580292"/>
      <w:bookmarkStart w:id="218" w:name="_Toc37245276"/>
      <w:r>
        <w:rPr>
          <w:rFonts w:hint="eastAsia" w:hAnsi="宋体" w:cs="宋体"/>
          <w:b/>
          <w:color w:val="auto"/>
          <w:sz w:val="21"/>
          <w:szCs w:val="21"/>
          <w:highlight w:val="none"/>
          <w:lang w:val="en-US" w:eastAsia="zh-CN"/>
        </w:rPr>
        <w:t>法律条文</w:t>
      </w:r>
      <w:r>
        <w:rPr>
          <w:rFonts w:hint="eastAsia" w:hAnsi="宋体" w:cs="宋体"/>
          <w:b/>
          <w:color w:val="auto"/>
          <w:sz w:val="21"/>
          <w:szCs w:val="21"/>
          <w:highlight w:val="none"/>
        </w:rPr>
        <w:t>适用性</w:t>
      </w:r>
      <w:bookmarkEnd w:id="202"/>
    </w:p>
    <w:p>
      <w:pPr>
        <w:pStyle w:val="7"/>
        <w:keepNext w:val="0"/>
        <w:keepLines w:val="0"/>
        <w:pageBreakBefore w:val="0"/>
        <w:widowControl/>
        <w:tabs>
          <w:tab w:val="left" w:pos="900"/>
        </w:tabs>
        <w:kinsoku/>
        <w:wordWrap/>
        <w:overflowPunct/>
        <w:topLinePunct w:val="0"/>
        <w:autoSpaceDE/>
        <w:autoSpaceDN/>
        <w:bidi w:val="0"/>
        <w:adjustRightInd/>
        <w:snapToGrid/>
        <w:spacing w:line="360" w:lineRule="auto"/>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val="en-US" w:eastAsia="zh-CN"/>
        </w:rPr>
        <w:t>本次采购项目为采购人院内采购行为，非政府采购行为，管理约束适用于采购人的内控制度。</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845" w:leftChars="0" w:hanging="425" w:firstLineChars="0"/>
        <w:jc w:val="left"/>
        <w:textAlignment w:val="auto"/>
        <w:outlineLvl w:val="9"/>
        <w:rPr>
          <w:rFonts w:hint="eastAsia" w:hAnsi="宋体" w:cs="宋体"/>
          <w:b/>
          <w:color w:val="auto"/>
          <w:sz w:val="21"/>
          <w:szCs w:val="21"/>
          <w:highlight w:val="none"/>
        </w:rPr>
      </w:pPr>
      <w:bookmarkStart w:id="219" w:name="_Toc2094489"/>
      <w:bookmarkStart w:id="220" w:name="_Toc2093350"/>
      <w:bookmarkStart w:id="221" w:name="_Toc1631"/>
      <w:bookmarkStart w:id="222" w:name="_Toc19303"/>
      <w:r>
        <w:rPr>
          <w:rFonts w:hint="eastAsia" w:hAnsi="宋体" w:cs="宋体"/>
          <w:b/>
          <w:color w:val="auto"/>
          <w:sz w:val="21"/>
          <w:szCs w:val="21"/>
          <w:highlight w:val="none"/>
          <w:lang w:eastAsia="zh-CN"/>
        </w:rPr>
        <w:t>院内磋商文件</w:t>
      </w:r>
      <w:r>
        <w:rPr>
          <w:rFonts w:hint="eastAsia" w:hAnsi="宋体" w:cs="宋体"/>
          <w:b/>
          <w:color w:val="auto"/>
          <w:sz w:val="21"/>
          <w:szCs w:val="21"/>
          <w:highlight w:val="none"/>
        </w:rPr>
        <w:t>的解释权</w:t>
      </w:r>
      <w:bookmarkEnd w:id="219"/>
      <w:bookmarkEnd w:id="220"/>
      <w:bookmarkEnd w:id="221"/>
      <w:bookmarkEnd w:id="222"/>
    </w:p>
    <w:p>
      <w:pPr>
        <w:keepNext w:val="0"/>
        <w:keepLines w:val="0"/>
        <w:pageBreakBefore w:val="0"/>
        <w:widowControl/>
        <w:kinsoku/>
        <w:wordWrap/>
        <w:overflowPunct/>
        <w:topLinePunct w:val="0"/>
        <w:autoSpaceDE/>
        <w:autoSpaceDN/>
        <w:bidi w:val="0"/>
        <w:adjustRightInd/>
        <w:snapToGrid/>
        <w:spacing w:line="360" w:lineRule="auto"/>
        <w:ind w:firstLine="472" w:firstLineChars="225"/>
        <w:textAlignment w:val="auto"/>
        <w:outlineLvl w:val="9"/>
        <w:rPr>
          <w:rFonts w:hAnsi="宋体" w:cs="宋体"/>
          <w:color w:val="auto"/>
          <w:szCs w:val="21"/>
          <w:highlight w:val="none"/>
        </w:rPr>
      </w:pPr>
      <w:bookmarkStart w:id="223" w:name="_Toc11669"/>
      <w:bookmarkStart w:id="224" w:name="_Toc2094490"/>
      <w:bookmarkStart w:id="225" w:name="_Toc2093351"/>
      <w:r>
        <w:rPr>
          <w:rFonts w:hint="eastAsia" w:hAnsi="宋体" w:cs="宋体"/>
          <w:color w:val="auto"/>
          <w:szCs w:val="21"/>
          <w:highlight w:val="none"/>
        </w:rPr>
        <w:t>本项目</w:t>
      </w:r>
      <w:r>
        <w:rPr>
          <w:rFonts w:hint="eastAsia" w:ascii="宋体" w:hAnsi="宋体" w:cs="宋体"/>
          <w:color w:val="auto"/>
          <w:szCs w:val="21"/>
          <w:highlight w:val="none"/>
          <w:lang w:val="en-US" w:eastAsia="zh-CN"/>
        </w:rPr>
        <w:t>院内</w:t>
      </w:r>
      <w:r>
        <w:rPr>
          <w:rFonts w:hint="eastAsia" w:hAnsi="宋体" w:cs="宋体"/>
          <w:color w:val="auto"/>
          <w:szCs w:val="21"/>
          <w:highlight w:val="none"/>
          <w:lang w:eastAsia="zh-CN"/>
        </w:rPr>
        <w:t>磋商文件</w:t>
      </w:r>
      <w:r>
        <w:rPr>
          <w:rFonts w:hint="eastAsia" w:hAnsi="宋体" w:cs="宋体"/>
          <w:color w:val="auto"/>
          <w:szCs w:val="21"/>
          <w:highlight w:val="none"/>
          <w:lang w:val="en-US" w:eastAsia="zh-CN"/>
        </w:rPr>
        <w:t>的解释权为采购人所有</w:t>
      </w:r>
      <w:r>
        <w:rPr>
          <w:rFonts w:hint="eastAsia" w:hAnsi="宋体" w:cs="宋体"/>
          <w:color w:val="auto"/>
          <w:szCs w:val="21"/>
          <w:highlight w:val="none"/>
        </w:rPr>
        <w:t>。</w:t>
      </w:r>
      <w:bookmarkEnd w:id="223"/>
      <w:bookmarkEnd w:id="224"/>
      <w:bookmarkEnd w:id="225"/>
    </w:p>
    <w:p>
      <w:pPr>
        <w:spacing w:before="200" w:after="200" w:line="360" w:lineRule="auto"/>
        <w:jc w:val="center"/>
        <w:outlineLvl w:val="0"/>
        <w:rPr>
          <w:rFonts w:ascii="宋体" w:hAnsi="宋体" w:cs="宋体"/>
          <w:color w:val="auto"/>
          <w:sz w:val="30"/>
          <w:szCs w:val="30"/>
          <w:highlight w:val="none"/>
        </w:rPr>
      </w:pPr>
      <w:r>
        <w:rPr>
          <w:rFonts w:hint="eastAsia" w:ascii="宋体" w:hAnsi="宋体" w:cs="宋体"/>
          <w:color w:val="auto"/>
          <w:sz w:val="24"/>
          <w:szCs w:val="24"/>
          <w:highlight w:val="none"/>
        </w:rPr>
        <w:br w:type="page"/>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Start w:id="226" w:name="_Toc2094491"/>
      <w:bookmarkStart w:id="227" w:name="_Toc22113"/>
      <w:bookmarkStart w:id="228" w:name="_Toc101843124"/>
      <w:bookmarkStart w:id="229" w:name="_Toc874_WPSOffice_Level1"/>
      <w:bookmarkStart w:id="230" w:name="_Toc2093352"/>
      <w:bookmarkStart w:id="231" w:name="OLE_LINK27"/>
      <w:bookmarkStart w:id="232" w:name="_Toc452373430"/>
      <w:bookmarkStart w:id="233" w:name="_Toc26449"/>
      <w:bookmarkStart w:id="234" w:name="_Toc101951257"/>
      <w:bookmarkStart w:id="235" w:name="_Toc101775124"/>
      <w:bookmarkStart w:id="236" w:name="_Toc17166"/>
      <w:bookmarkStart w:id="237" w:name="_Toc101771371"/>
      <w:bookmarkStart w:id="238" w:name="_Toc175644388"/>
      <w:bookmarkStart w:id="239" w:name="_Toc37331039"/>
      <w:bookmarkStart w:id="240" w:name="_Toc46308684"/>
      <w:bookmarkStart w:id="241" w:name="_Toc37245277"/>
      <w:bookmarkStart w:id="242" w:name="_Toc46308528"/>
      <w:bookmarkStart w:id="243" w:name="_Toc37569520"/>
      <w:bookmarkStart w:id="244" w:name="_Toc40762371"/>
      <w:bookmarkStart w:id="245" w:name="_Toc37331081"/>
      <w:bookmarkStart w:id="246" w:name="_Toc37663392"/>
      <w:bookmarkStart w:id="247" w:name="_Toc37581421"/>
      <w:r>
        <w:rPr>
          <w:rFonts w:hint="eastAsia" w:ascii="宋体" w:hAnsi="宋体" w:eastAsia="宋体" w:cs="宋体"/>
          <w:b/>
          <w:color w:val="auto"/>
          <w:kern w:val="44"/>
          <w:sz w:val="30"/>
          <w:szCs w:val="30"/>
          <w:highlight w:val="none"/>
          <w:lang w:val="en-US" w:eastAsia="zh-CN" w:bidi="ar-SA"/>
        </w:rPr>
        <w:t>第二章 采购人需求</w:t>
      </w:r>
      <w:bookmarkEnd w:id="226"/>
      <w:bookmarkEnd w:id="227"/>
      <w:bookmarkEnd w:id="228"/>
      <w:bookmarkEnd w:id="229"/>
      <w:bookmarkEnd w:id="230"/>
      <w:bookmarkEnd w:id="231"/>
      <w:bookmarkEnd w:id="232"/>
      <w:bookmarkEnd w:id="233"/>
      <w:bookmarkEnd w:id="234"/>
      <w:bookmarkEnd w:id="235"/>
      <w:bookmarkEnd w:id="236"/>
      <w:bookmarkEnd w:id="237"/>
      <w:bookmarkEnd w:id="238"/>
    </w:p>
    <w:p>
      <w:pPr>
        <w:widowControl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“★”号条款为实质性条款（如有），若有任何一条负偏离或不满足则导致投标（响应）无效。</w:t>
      </w:r>
    </w:p>
    <w:p>
      <w:pPr>
        <w:widowControl w:val="0"/>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“▲”号条款为重要技术参数</w:t>
      </w:r>
      <w:bookmarkStart w:id="248" w:name="OLE_LINK28"/>
      <w:r>
        <w:rPr>
          <w:rFonts w:hint="eastAsia" w:ascii="宋体" w:hAnsi="宋体" w:cs="宋体"/>
          <w:color w:val="auto"/>
          <w:szCs w:val="21"/>
          <w:highlight w:val="none"/>
        </w:rPr>
        <w:t>（如有）</w:t>
      </w:r>
      <w:bookmarkEnd w:id="248"/>
      <w:r>
        <w:rPr>
          <w:rFonts w:hint="eastAsia" w:ascii="宋体" w:hAnsi="宋体" w:cs="宋体"/>
          <w:color w:val="auto"/>
          <w:szCs w:val="21"/>
          <w:highlight w:val="none"/>
        </w:rPr>
        <w:t>，若有部分“▲”条款未响应或不满足，将根据评审要求影响其得分，但不作为无效投标（响应）条款。</w:t>
      </w:r>
    </w:p>
    <w:p>
      <w:pPr>
        <w:widowControl w:val="0"/>
        <w:spacing w:line="360" w:lineRule="auto"/>
        <w:ind w:firstLine="422" w:firstLineChars="200"/>
        <w:outlineLvl w:val="9"/>
        <w:rPr>
          <w:rFonts w:ascii="宋体" w:hAnsi="宋体" w:cs="宋体"/>
          <w:b/>
          <w:bCs/>
          <w:color w:val="auto"/>
          <w:szCs w:val="21"/>
          <w:highlight w:val="none"/>
        </w:rPr>
      </w:pPr>
      <w:r>
        <w:rPr>
          <w:rFonts w:hint="eastAsia" w:ascii="宋体" w:hAnsi="宋体" w:cs="宋体"/>
          <w:b/>
          <w:bCs/>
          <w:color w:val="auto"/>
          <w:szCs w:val="21"/>
          <w:highlight w:val="none"/>
        </w:rPr>
        <w:t>一、</w:t>
      </w:r>
      <w:r>
        <w:rPr>
          <w:rFonts w:hint="eastAsia" w:ascii="宋体" w:hAnsi="宋体" w:cs="宋体"/>
          <w:b/>
          <w:color w:val="auto"/>
          <w:szCs w:val="21"/>
          <w:highlight w:val="none"/>
        </w:rPr>
        <w:t>项目</w:t>
      </w:r>
      <w:r>
        <w:rPr>
          <w:rFonts w:hint="eastAsia" w:ascii="宋体" w:hAnsi="宋体" w:cs="宋体"/>
          <w:b/>
          <w:bCs/>
          <w:color w:val="auto"/>
          <w:szCs w:val="21"/>
          <w:highlight w:val="none"/>
        </w:rPr>
        <w:t>概况</w:t>
      </w:r>
    </w:p>
    <w:p>
      <w:pPr>
        <w:widowControl w:val="0"/>
        <w:spacing w:line="360" w:lineRule="auto"/>
        <w:ind w:firstLine="422" w:firstLineChars="200"/>
        <w:outlineLvl w:val="9"/>
        <w:rPr>
          <w:rFonts w:hint="eastAsia" w:ascii="宋体" w:hAnsi="宋体" w:eastAsia="宋体" w:cs="宋体"/>
          <w:color w:val="auto"/>
          <w:szCs w:val="21"/>
          <w:highlight w:val="none"/>
          <w:lang w:eastAsia="zh-CN"/>
        </w:rPr>
      </w:pPr>
      <w:r>
        <w:rPr>
          <w:rFonts w:hint="eastAsia" w:ascii="宋体" w:hAnsi="宋体" w:cs="宋体"/>
          <w:b/>
          <w:bCs/>
          <w:color w:val="auto"/>
          <w:szCs w:val="21"/>
          <w:highlight w:val="none"/>
        </w:rPr>
        <w:t>1.项目名称：</w:t>
      </w:r>
      <w:r>
        <w:rPr>
          <w:rFonts w:hint="eastAsia" w:ascii="宋体" w:hAnsi="宋体" w:cs="宋体"/>
          <w:color w:val="auto"/>
          <w:szCs w:val="21"/>
          <w:highlight w:val="none"/>
          <w:lang w:eastAsia="zh-CN"/>
        </w:rPr>
        <w:t>从化区中医医院电子支气管内镜、检验科专用纯水机采购项目</w:t>
      </w:r>
    </w:p>
    <w:p>
      <w:pPr>
        <w:widowControl w:val="0"/>
        <w:spacing w:line="360" w:lineRule="auto"/>
        <w:ind w:firstLine="422" w:firstLineChars="200"/>
        <w:outlineLvl w:val="9"/>
        <w:rPr>
          <w:rFonts w:ascii="宋体" w:hAnsi="宋体" w:cs="宋体"/>
          <w:b/>
          <w:bCs/>
          <w:color w:val="auto"/>
          <w:szCs w:val="21"/>
          <w:highlight w:val="none"/>
        </w:rPr>
      </w:pPr>
      <w:r>
        <w:rPr>
          <w:rFonts w:hint="eastAsia" w:ascii="宋体" w:hAnsi="宋体" w:cs="宋体"/>
          <w:b/>
          <w:bCs/>
          <w:color w:val="auto"/>
          <w:szCs w:val="21"/>
          <w:highlight w:val="none"/>
        </w:rPr>
        <w:t>2.项目类别：</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类</w:t>
      </w:r>
    </w:p>
    <w:p>
      <w:pPr>
        <w:widowControl w:val="0"/>
        <w:spacing w:line="360" w:lineRule="auto"/>
        <w:ind w:firstLine="422" w:firstLineChars="200"/>
        <w:outlineLvl w:val="9"/>
        <w:rPr>
          <w:rFonts w:hint="eastAsia" w:ascii="宋体" w:hAnsi="宋体" w:eastAsia="宋体"/>
          <w:color w:val="auto"/>
          <w:sz w:val="24"/>
          <w:highlight w:val="none"/>
          <w:lang w:eastAsia="zh-CN"/>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.项目</w:t>
      </w:r>
      <w:r>
        <w:rPr>
          <w:rFonts w:hint="eastAsia" w:ascii="宋体" w:hAnsi="宋体" w:cs="宋体"/>
          <w:b/>
          <w:bCs/>
          <w:color w:val="auto"/>
          <w:szCs w:val="21"/>
          <w:highlight w:val="none"/>
          <w:lang w:val="en-US" w:eastAsia="zh-CN"/>
        </w:rPr>
        <w:t>采购限价</w:t>
      </w:r>
      <w:r>
        <w:rPr>
          <w:rFonts w:hint="eastAsia" w:ascii="宋体" w:hAnsi="宋体" w:cs="宋体"/>
          <w:b/>
          <w:bCs/>
          <w:color w:val="auto"/>
          <w:szCs w:val="21"/>
          <w:highlight w:val="none"/>
        </w:rPr>
        <w:t>：</w:t>
      </w:r>
      <w:r>
        <w:rPr>
          <w:rFonts w:hint="eastAsia" w:ascii="宋体" w:hAnsi="宋体" w:cs="宋体"/>
          <w:b w:val="0"/>
          <w:bCs w:val="0"/>
          <w:color w:val="auto"/>
          <w:szCs w:val="21"/>
          <w:highlight w:val="none"/>
          <w:lang w:val="en-US" w:eastAsia="zh-CN"/>
        </w:rPr>
        <w:t>人民币17</w:t>
      </w:r>
      <w:r>
        <w:rPr>
          <w:rFonts w:hint="eastAsia" w:ascii="宋体" w:hAnsi="宋体" w:cs="宋体"/>
          <w:b w:val="0"/>
          <w:bCs w:val="0"/>
          <w:color w:val="auto"/>
          <w:szCs w:val="21"/>
          <w:highlight w:val="none"/>
        </w:rPr>
        <w:t>万元</w:t>
      </w:r>
    </w:p>
    <w:p>
      <w:pPr>
        <w:widowControl w:val="0"/>
        <w:spacing w:line="360" w:lineRule="auto"/>
        <w:ind w:firstLine="422" w:firstLineChars="200"/>
        <w:outlineLvl w:val="9"/>
        <w:rPr>
          <w:rFonts w:ascii="宋体" w:hAnsi="宋体" w:cs="宋体"/>
          <w:color w:val="auto"/>
          <w:szCs w:val="21"/>
          <w:highlight w:val="none"/>
        </w:rPr>
      </w:pP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.成交人数量</w:t>
      </w:r>
      <w:r>
        <w:rPr>
          <w:rFonts w:hint="eastAsia" w:ascii="宋体" w:hAnsi="宋体" w:cs="宋体"/>
          <w:b w:val="0"/>
          <w:bCs w:val="0"/>
          <w:color w:val="auto"/>
          <w:szCs w:val="21"/>
          <w:highlight w:val="none"/>
        </w:rPr>
        <w:t>：</w:t>
      </w:r>
      <w:r>
        <w:rPr>
          <w:rFonts w:hint="eastAsia" w:ascii="宋体" w:hAnsi="宋体" w:cs="宋体"/>
          <w:color w:val="auto"/>
          <w:szCs w:val="21"/>
          <w:highlight w:val="none"/>
        </w:rPr>
        <w:t>1家</w:t>
      </w:r>
    </w:p>
    <w:p>
      <w:pPr>
        <w:widowControl w:val="0"/>
        <w:spacing w:line="360" w:lineRule="auto"/>
        <w:ind w:firstLine="422" w:firstLineChars="200"/>
        <w:outlineLvl w:val="9"/>
        <w:rPr>
          <w:rFonts w:ascii="宋体" w:hAnsi="宋体" w:cs="宋体"/>
          <w:color w:val="auto"/>
          <w:szCs w:val="21"/>
          <w:highlight w:val="none"/>
        </w:rPr>
      </w:pPr>
      <w:r>
        <w:rPr>
          <w:rFonts w:hint="eastAsia" w:ascii="宋体" w:hAnsi="宋体" w:cs="宋体"/>
          <w:b/>
          <w:bCs/>
          <w:color w:val="auto"/>
          <w:szCs w:val="21"/>
          <w:highlight w:val="none"/>
          <w:lang w:val="en-US" w:eastAsia="zh-CN"/>
        </w:rPr>
        <w:t>5</w:t>
      </w:r>
      <w:r>
        <w:rPr>
          <w:rFonts w:ascii="宋体" w:hAnsi="宋体" w:cs="宋体"/>
          <w:b/>
          <w:bCs/>
          <w:color w:val="auto"/>
          <w:szCs w:val="21"/>
          <w:highlight w:val="none"/>
        </w:rPr>
        <w:t>.</w:t>
      </w:r>
      <w:r>
        <w:rPr>
          <w:rFonts w:hint="eastAsia" w:ascii="宋体" w:hAnsi="宋体" w:cs="宋体"/>
          <w:b/>
          <w:bCs/>
          <w:color w:val="auto"/>
          <w:szCs w:val="21"/>
          <w:highlight w:val="none"/>
        </w:rPr>
        <w:t>报价要求：</w:t>
      </w:r>
      <w:r>
        <w:rPr>
          <w:rFonts w:hint="eastAsia" w:ascii="宋体" w:hAnsi="宋体" w:cs="宋体"/>
          <w:b w:val="0"/>
          <w:bCs w:val="0"/>
          <w:color w:val="auto"/>
          <w:szCs w:val="21"/>
          <w:highlight w:val="none"/>
          <w:lang w:val="en-US" w:eastAsia="zh-CN"/>
        </w:rPr>
        <w:t>应商必须对全部内容进行报价，不得缺漏或超过各项最高限价，否则将被视为</w:t>
      </w:r>
      <w:r>
        <w:rPr>
          <w:rFonts w:hint="eastAsia" w:ascii="宋体" w:hAnsi="宋体" w:cs="宋体"/>
          <w:color w:val="auto"/>
          <w:szCs w:val="21"/>
          <w:highlight w:val="none"/>
        </w:rPr>
        <w:t>非实质性响应采购文件，按无效处理。</w:t>
      </w:r>
    </w:p>
    <w:p>
      <w:pPr>
        <w:widowControl w:val="0"/>
        <w:spacing w:line="360" w:lineRule="auto"/>
        <w:ind w:firstLine="422" w:firstLineChars="200"/>
        <w:outlineLvl w:val="9"/>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6.采购内容：</w:t>
      </w:r>
    </w:p>
    <w:tbl>
      <w:tblPr>
        <w:tblStyle w:val="48"/>
        <w:tblW w:w="46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968"/>
        <w:gridCol w:w="763"/>
        <w:gridCol w:w="857"/>
        <w:gridCol w:w="1381"/>
        <w:gridCol w:w="1365"/>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457"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序号</w:t>
            </w:r>
          </w:p>
        </w:tc>
        <w:tc>
          <w:tcPr>
            <w:tcW w:w="1096"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采购</w:t>
            </w:r>
            <w:r>
              <w:rPr>
                <w:rFonts w:hint="eastAsia" w:asciiTheme="minorEastAsia" w:hAnsiTheme="minorEastAsia" w:eastAsiaTheme="minorEastAsia" w:cstheme="minorEastAsia"/>
                <w:b/>
                <w:color w:val="auto"/>
                <w:sz w:val="21"/>
                <w:szCs w:val="21"/>
                <w:highlight w:val="none"/>
              </w:rPr>
              <w:t>内容</w:t>
            </w:r>
          </w:p>
        </w:tc>
        <w:tc>
          <w:tcPr>
            <w:tcW w:w="424"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单位</w:t>
            </w:r>
          </w:p>
        </w:tc>
        <w:tc>
          <w:tcPr>
            <w:tcW w:w="477"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数量</w:t>
            </w:r>
          </w:p>
        </w:tc>
        <w:tc>
          <w:tcPr>
            <w:tcW w:w="769"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单价限价</w:t>
            </w:r>
          </w:p>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（万元）</w:t>
            </w:r>
          </w:p>
        </w:tc>
        <w:tc>
          <w:tcPr>
            <w:tcW w:w="760"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总价限价</w:t>
            </w:r>
          </w:p>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（万元）</w:t>
            </w:r>
          </w:p>
        </w:tc>
        <w:tc>
          <w:tcPr>
            <w:tcW w:w="1013" w:type="pct"/>
            <w:tcBorders>
              <w:top w:val="single" w:color="auto" w:sz="4" w:space="0"/>
              <w:left w:val="single" w:color="auto" w:sz="4" w:space="0"/>
              <w:bottom w:val="single" w:color="auto" w:sz="4" w:space="0"/>
              <w:right w:val="single" w:color="auto" w:sz="4" w:space="0"/>
            </w:tcBorders>
            <w:shd w:val="clear" w:color="auto" w:fill="EEECE1"/>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1</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bookmarkStart w:id="249" w:name="OLE_LINK13"/>
            <w:r>
              <w:rPr>
                <w:rFonts w:hint="eastAsia" w:asciiTheme="minorEastAsia" w:hAnsiTheme="minorEastAsia" w:eastAsiaTheme="minorEastAsia" w:cstheme="minorEastAsia"/>
                <w:color w:val="auto"/>
                <w:sz w:val="21"/>
                <w:szCs w:val="21"/>
                <w:highlight w:val="none"/>
                <w:lang w:eastAsia="zh-CN"/>
              </w:rPr>
              <w:t>电子支气管内镜</w:t>
            </w:r>
            <w:bookmarkEnd w:id="249"/>
          </w:p>
        </w:tc>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台</w:t>
            </w:r>
          </w:p>
        </w:tc>
        <w:tc>
          <w:tcPr>
            <w:tcW w:w="47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7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01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签订合同后60天内完成供货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45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2</w:t>
            </w:r>
          </w:p>
        </w:tc>
        <w:tc>
          <w:tcPr>
            <w:tcW w:w="1096"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hint="eastAsia" w:asciiTheme="minorEastAsia" w:hAnsiTheme="minorEastAsia" w:eastAsiaTheme="minorEastAsia" w:cstheme="minorEastAsia"/>
                <w:color w:val="auto"/>
                <w:sz w:val="21"/>
                <w:szCs w:val="21"/>
                <w:highlight w:val="none"/>
                <w:lang w:val="en-US" w:eastAsia="zh-CN"/>
              </w:rPr>
            </w:pPr>
            <w:bookmarkStart w:id="250" w:name="OLE_LINK14"/>
            <w:r>
              <w:rPr>
                <w:rFonts w:hint="eastAsia" w:asciiTheme="minorEastAsia" w:hAnsiTheme="minorEastAsia" w:eastAsiaTheme="minorEastAsia" w:cstheme="minorEastAsia"/>
                <w:color w:val="auto"/>
                <w:sz w:val="21"/>
                <w:szCs w:val="21"/>
                <w:highlight w:val="none"/>
                <w:lang w:eastAsia="zh-CN"/>
              </w:rPr>
              <w:t>检验科专用纯水机</w:t>
            </w:r>
            <w:bookmarkEnd w:id="250"/>
          </w:p>
        </w:tc>
        <w:tc>
          <w:tcPr>
            <w:tcW w:w="424"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lang w:val="en-US" w:eastAsia="zh-CN"/>
              </w:rPr>
              <w:t>套</w:t>
            </w:r>
          </w:p>
        </w:tc>
        <w:tc>
          <w:tcPr>
            <w:tcW w:w="477"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val="en-US" w:eastAsia="zh-CN"/>
              </w:rPr>
              <w:t>1</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760" w:type="pc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01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78" w:type="pct"/>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合计：</w:t>
            </w:r>
          </w:p>
        </w:tc>
        <w:tc>
          <w:tcPr>
            <w:tcW w:w="4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7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c>
          <w:tcPr>
            <w:tcW w:w="76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w:t>
            </w:r>
          </w:p>
        </w:tc>
        <w:tc>
          <w:tcPr>
            <w:tcW w:w="1013"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w:t>
            </w:r>
          </w:p>
        </w:tc>
      </w:tr>
    </w:tbl>
    <w:p>
      <w:pPr>
        <w:pStyle w:val="59"/>
        <w:outlineLvl w:val="9"/>
        <w:rPr>
          <w:rFonts w:hint="default"/>
          <w:color w:val="auto"/>
          <w:highlight w:val="none"/>
          <w:lang w:val="en-US" w:eastAsia="zh-CN"/>
        </w:rPr>
      </w:pPr>
    </w:p>
    <w:p>
      <w:pPr>
        <w:widowControl w:val="0"/>
        <w:spacing w:line="360" w:lineRule="auto"/>
        <w:ind w:firstLine="422" w:firstLineChars="200"/>
        <w:outlineLvl w:val="9"/>
        <w:rPr>
          <w:rFonts w:ascii="宋体" w:hAnsi="宋体" w:cs="宋体"/>
          <w:b/>
          <w:bCs/>
          <w:color w:val="auto"/>
          <w:szCs w:val="21"/>
          <w:highlight w:val="none"/>
        </w:rPr>
      </w:pPr>
      <w:r>
        <w:rPr>
          <w:rFonts w:hint="eastAsia" w:ascii="宋体" w:hAnsi="宋体" w:cs="宋体"/>
          <w:b/>
          <w:bCs/>
          <w:color w:val="auto"/>
          <w:szCs w:val="21"/>
          <w:highlight w:val="none"/>
        </w:rPr>
        <w:t>二、</w:t>
      </w:r>
      <w:bookmarkStart w:id="251" w:name="OLE_LINK46"/>
      <w:r>
        <w:rPr>
          <w:rFonts w:hint="eastAsia" w:ascii="宋体" w:hAnsi="宋体" w:cs="宋体"/>
          <w:b/>
          <w:bCs/>
          <w:color w:val="auto"/>
          <w:szCs w:val="21"/>
          <w:highlight w:val="none"/>
          <w:lang w:val="en-US" w:eastAsia="zh-CN"/>
        </w:rPr>
        <w:t>技术参数</w:t>
      </w:r>
      <w:r>
        <w:rPr>
          <w:rFonts w:hint="eastAsia" w:ascii="宋体" w:hAnsi="宋体" w:cs="宋体"/>
          <w:b/>
          <w:bCs/>
          <w:color w:val="auto"/>
          <w:szCs w:val="21"/>
          <w:highlight w:val="none"/>
        </w:rPr>
        <w:t>要求</w:t>
      </w:r>
      <w:bookmarkEnd w:id="251"/>
    </w:p>
    <w:p>
      <w:pPr>
        <w:pStyle w:val="2"/>
        <w:keepNext w:val="0"/>
        <w:keepLines w:val="0"/>
        <w:pageBreakBefore w:val="0"/>
        <w:widowControl w:val="0"/>
        <w:numPr>
          <w:ilvl w:val="0"/>
          <w:numId w:val="0"/>
        </w:numPr>
        <w:tabs>
          <w:tab w:val="left" w:pos="0"/>
          <w:tab w:val="left" w:pos="993"/>
          <w:tab w:val="left" w:pos="1134"/>
          <w:tab w:val="clear" w:pos="630"/>
        </w:tabs>
        <w:kinsoku/>
        <w:wordWrap/>
        <w:overflowPunct/>
        <w:topLinePunct w:val="0"/>
        <w:autoSpaceDE/>
        <w:autoSpaceDN/>
        <w:bidi w:val="0"/>
        <w:adjustRightInd/>
        <w:snapToGrid/>
        <w:spacing w:after="0" w:line="360" w:lineRule="auto"/>
        <w:jc w:val="left"/>
        <w:textAlignment w:val="auto"/>
        <w:outlineLvl w:val="9"/>
        <w:rPr>
          <w:rFonts w:hint="eastAsia" w:ascii="宋体" w:hAnsi="宋体" w:eastAsia="宋体" w:cs="宋体"/>
          <w:b/>
          <w:bCs/>
          <w:color w:val="auto"/>
          <w:sz w:val="21"/>
          <w:szCs w:val="21"/>
          <w:lang w:val="en-US" w:eastAsia="zh-CN"/>
        </w:rPr>
      </w:pPr>
      <w:bookmarkStart w:id="252" w:name="OLE_LINK15"/>
      <w:r>
        <w:rPr>
          <w:rFonts w:hint="eastAsia" w:ascii="宋体" w:hAnsi="宋体" w:cs="宋体"/>
          <w:b/>
          <w:bCs/>
          <w:color w:val="auto"/>
          <w:sz w:val="21"/>
          <w:szCs w:val="21"/>
          <w:lang w:val="en-US" w:eastAsia="zh-CN"/>
        </w:rPr>
        <w:t>设备1：电子支气管内镜</w:t>
      </w:r>
    </w:p>
    <w:bookmarkEnd w:id="252"/>
    <w:p>
      <w:pPr>
        <w:numPr>
          <w:ilvl w:val="0"/>
          <w:numId w:val="4"/>
        </w:numPr>
        <w:ind w:left="454" w:leftChars="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整机由机身操作部和显示器两部分组成，整机具有拍照录像、数据存取等功能，内存不少于8G存储空间。</w:t>
      </w:r>
    </w:p>
    <w:p>
      <w:pPr>
        <w:numPr>
          <w:ilvl w:val="0"/>
          <w:numId w:val="4"/>
        </w:numPr>
        <w:ind w:left="454" w:leftChars="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显示器可上下旋转、左右旋转。</w:t>
      </w:r>
    </w:p>
    <w:p>
      <w:pPr>
        <w:numPr>
          <w:ilvl w:val="0"/>
          <w:numId w:val="4"/>
        </w:numPr>
        <w:ind w:left="454" w:leftChars="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工作长度：≥600mm</w:t>
      </w:r>
      <w:r>
        <w:rPr>
          <w:rFonts w:hint="eastAsia" w:asciiTheme="minorEastAsia" w:hAnsiTheme="minorEastAsia" w:eastAsiaTheme="minorEastAsia" w:cstheme="minorEastAsia"/>
          <w:color w:val="auto"/>
          <w:sz w:val="21"/>
          <w:szCs w:val="21"/>
          <w:lang w:eastAsia="zh-CN"/>
        </w:rPr>
        <w:t>。</w:t>
      </w:r>
    </w:p>
    <w:p>
      <w:pPr>
        <w:numPr>
          <w:ilvl w:val="0"/>
          <w:numId w:val="4"/>
        </w:numPr>
        <w:ind w:left="454" w:leftChars="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最大插入部外径（mm）：≤φ5.</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mm</w:t>
      </w:r>
      <w:r>
        <w:rPr>
          <w:rFonts w:hint="eastAsia" w:asciiTheme="minorEastAsia" w:hAnsiTheme="minorEastAsia" w:eastAsiaTheme="minorEastAsia" w:cstheme="minorEastAsia"/>
          <w:color w:val="auto"/>
          <w:sz w:val="21"/>
          <w:szCs w:val="21"/>
          <w:lang w:eastAsia="zh-CN"/>
        </w:rPr>
        <w:t>。</w:t>
      </w:r>
    </w:p>
    <w:p>
      <w:pPr>
        <w:numPr>
          <w:ilvl w:val="0"/>
          <w:numId w:val="4"/>
        </w:numPr>
        <w:ind w:left="454" w:leftChars="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钳道孔内径（mm）： ≥φ2.2mm</w:t>
      </w:r>
      <w:r>
        <w:rPr>
          <w:rFonts w:hint="eastAsia" w:asciiTheme="minorEastAsia" w:hAnsiTheme="minorEastAsia" w:eastAsiaTheme="minorEastAsia" w:cstheme="minorEastAsia"/>
          <w:color w:val="auto"/>
          <w:sz w:val="21"/>
          <w:szCs w:val="21"/>
          <w:lang w:eastAsia="zh-CN"/>
        </w:rPr>
        <w:t>。</w:t>
      </w:r>
    </w:p>
    <w:p>
      <w:pPr>
        <w:numPr>
          <w:ilvl w:val="0"/>
          <w:numId w:val="4"/>
        </w:numPr>
        <w:ind w:left="454" w:leftChars="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弯  角 (°) ：上≥</w:t>
      </w:r>
      <w:r>
        <w:rPr>
          <w:rFonts w:hint="eastAsia" w:asciiTheme="minorEastAsia" w:hAnsiTheme="minorEastAsia" w:eastAsiaTheme="minorEastAsia" w:cstheme="minorEastAsia"/>
          <w:color w:val="auto"/>
          <w:sz w:val="21"/>
          <w:szCs w:val="21"/>
          <w:lang w:val="en-US" w:eastAsia="zh-CN"/>
        </w:rPr>
        <w:t>150</w:t>
      </w:r>
      <w:r>
        <w:rPr>
          <w:rFonts w:hint="eastAsia" w:asciiTheme="minorEastAsia" w:hAnsiTheme="minorEastAsia" w:eastAsiaTheme="minorEastAsia" w:cstheme="minorEastAsia"/>
          <w:color w:val="auto"/>
          <w:sz w:val="21"/>
          <w:szCs w:val="21"/>
        </w:rPr>
        <w:t xml:space="preserve">°, 下≥130 ° </w:t>
      </w:r>
    </w:p>
    <w:p>
      <w:pPr>
        <w:numPr>
          <w:ilvl w:val="0"/>
          <w:numId w:val="4"/>
        </w:numPr>
        <w:ind w:left="454" w:leftChars="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景深（mm）: </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—50mm</w:t>
      </w:r>
    </w:p>
    <w:p>
      <w:pPr>
        <w:numPr>
          <w:ilvl w:val="0"/>
          <w:numId w:val="4"/>
        </w:numPr>
        <w:ind w:left="454" w:leftChars="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视场角 (°) ：≥</w:t>
      </w:r>
      <w:r>
        <w:rPr>
          <w:rFonts w:hint="eastAsia" w:asciiTheme="minorEastAsia" w:hAnsiTheme="minorEastAsia" w:eastAsiaTheme="minorEastAsia" w:cstheme="minorEastAsia"/>
          <w:color w:val="auto"/>
          <w:sz w:val="21"/>
          <w:szCs w:val="21"/>
          <w:lang w:val="en-US" w:eastAsia="zh-CN"/>
        </w:rPr>
        <w:t>90</w:t>
      </w:r>
      <w:r>
        <w:rPr>
          <w:rFonts w:hint="eastAsia" w:asciiTheme="minorEastAsia" w:hAnsiTheme="minorEastAsia" w:eastAsiaTheme="minorEastAsia" w:cstheme="minorEastAsia"/>
          <w:color w:val="auto"/>
          <w:sz w:val="21"/>
          <w:szCs w:val="21"/>
        </w:rPr>
        <w:t xml:space="preserve"> °</w:t>
      </w:r>
    </w:p>
    <w:p>
      <w:pPr>
        <w:numPr>
          <w:ilvl w:val="0"/>
          <w:numId w:val="4"/>
        </w:numPr>
        <w:ind w:left="454" w:leftChars="0" w:hanging="454" w:firstLine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操作手柄和显示器可消毒，并符合国家软镜消毒标准。</w:t>
      </w:r>
    </w:p>
    <w:p>
      <w:pPr>
        <w:numPr>
          <w:ilvl w:val="0"/>
          <w:numId w:val="4"/>
        </w:numPr>
        <w:ind w:left="454" w:leftChars="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视向角：0 °± 10 °（前视）</w:t>
      </w:r>
    </w:p>
    <w:p>
      <w:pPr>
        <w:numPr>
          <w:ilvl w:val="0"/>
          <w:numId w:val="4"/>
        </w:numPr>
        <w:ind w:left="454" w:leftChars="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色彩还原性：在显示屏上观察标准色板，能分辨标准色板上≥2</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种颜色。</w:t>
      </w:r>
    </w:p>
    <w:p>
      <w:pPr>
        <w:numPr>
          <w:ilvl w:val="0"/>
          <w:numId w:val="4"/>
        </w:numPr>
        <w:ind w:left="454" w:leftChars="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显色指数：≥</w:t>
      </w:r>
      <w:r>
        <w:rPr>
          <w:rFonts w:hint="eastAsia" w:asciiTheme="minorEastAsia" w:hAnsiTheme="minorEastAsia" w:eastAsiaTheme="minorEastAsia" w:cstheme="minorEastAsia"/>
          <w:color w:val="auto"/>
          <w:sz w:val="21"/>
          <w:szCs w:val="21"/>
          <w:lang w:val="en-US" w:eastAsia="zh-CN"/>
        </w:rPr>
        <w:t>70。</w:t>
      </w:r>
    </w:p>
    <w:p>
      <w:pPr>
        <w:numPr>
          <w:ilvl w:val="0"/>
          <w:numId w:val="4"/>
        </w:numPr>
        <w:ind w:left="454" w:leftChars="0" w:hanging="454"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输出总光通量：10 lm允差-10% ，上限不计。</w:t>
      </w:r>
    </w:p>
    <w:p>
      <w:pPr>
        <w:numPr>
          <w:ilvl w:val="0"/>
          <w:numId w:val="4"/>
        </w:numPr>
        <w:ind w:left="454" w:leftChars="0" w:hanging="454"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rPr>
        <w:t>电池工作时间：大于</w:t>
      </w:r>
      <w:r>
        <w:rPr>
          <w:rFonts w:hint="eastAsia" w:asciiTheme="minorEastAsia" w:hAnsiTheme="minorEastAsia" w:eastAsia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rPr>
        <w:t>min</w:t>
      </w:r>
      <w:r>
        <w:rPr>
          <w:rFonts w:hint="eastAsia" w:asciiTheme="minorEastAsia" w:hAnsiTheme="minorEastAsia" w:eastAsiaTheme="minorEastAsia" w:cstheme="minorEastAsia"/>
          <w:color w:val="auto"/>
          <w:sz w:val="21"/>
          <w:szCs w:val="21"/>
          <w:lang w:eastAsia="zh-CN"/>
        </w:rPr>
        <w:t>。</w:t>
      </w:r>
    </w:p>
    <w:p>
      <w:pPr>
        <w:numPr>
          <w:ilvl w:val="0"/>
          <w:numId w:val="4"/>
        </w:numPr>
        <w:ind w:left="454" w:leftChars="0" w:hanging="454"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auto"/>
          <w:sz w:val="21"/>
          <w:szCs w:val="21"/>
          <w:lang w:val="en-US" w:eastAsia="zh-CN"/>
        </w:rPr>
        <w:t>配置清单：</w:t>
      </w:r>
    </w:p>
    <w:tbl>
      <w:tblPr>
        <w:tblStyle w:val="49"/>
        <w:tblW w:w="6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620"/>
        <w:gridCol w:w="1380"/>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序号</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配置清单</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数量</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单位</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主机</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台</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测漏表</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个</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测漏盖</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个</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内镜显示装置</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个</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内存卡</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个</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USB 充电线</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条</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充电器</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个</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手电筒</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个</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电池充电器</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个</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说明书</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本</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镜箱</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个</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w:t>
            </w:r>
          </w:p>
        </w:tc>
        <w:tc>
          <w:tcPr>
            <w:tcW w:w="1620" w:type="dxa"/>
            <w:noWrap w:val="0"/>
            <w:vAlign w:val="center"/>
          </w:tcPr>
          <w:p>
            <w:pPr>
              <w:numPr>
                <w:ilvl w:val="0"/>
                <w:numId w:val="0"/>
              </w:num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合格证</w:t>
            </w:r>
          </w:p>
        </w:tc>
        <w:tc>
          <w:tcPr>
            <w:tcW w:w="1380"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张</w:t>
            </w:r>
          </w:p>
        </w:tc>
        <w:tc>
          <w:tcPr>
            <w:tcW w:w="1455" w:type="dxa"/>
            <w:noWrap w:val="0"/>
            <w:vAlign w:val="center"/>
          </w:tcPr>
          <w:p>
            <w:pPr>
              <w:numPr>
                <w:ilvl w:val="0"/>
                <w:numId w:val="0"/>
              </w:numPr>
              <w:jc w:val="center"/>
              <w:rPr>
                <w:rFonts w:hint="eastAsia" w:asciiTheme="minorEastAsia" w:hAnsiTheme="minorEastAsia" w:eastAsiaTheme="minorEastAsia" w:cstheme="minorEastAsia"/>
                <w:sz w:val="21"/>
                <w:szCs w:val="21"/>
                <w:vertAlign w:val="baseline"/>
                <w:lang w:val="en-US" w:eastAsia="zh-CN"/>
              </w:rPr>
            </w:pPr>
          </w:p>
        </w:tc>
      </w:tr>
    </w:tbl>
    <w:p>
      <w:pPr>
        <w:pStyle w:val="2"/>
        <w:keepNext w:val="0"/>
        <w:keepLines w:val="0"/>
        <w:pageBreakBefore w:val="0"/>
        <w:widowControl w:val="0"/>
        <w:numPr>
          <w:ilvl w:val="0"/>
          <w:numId w:val="0"/>
        </w:numPr>
        <w:tabs>
          <w:tab w:val="left" w:pos="0"/>
          <w:tab w:val="left" w:pos="993"/>
          <w:tab w:val="left" w:pos="1134"/>
          <w:tab w:val="clear" w:pos="630"/>
        </w:tabs>
        <w:kinsoku/>
        <w:wordWrap/>
        <w:overflowPunct/>
        <w:topLinePunct w:val="0"/>
        <w:autoSpaceDE/>
        <w:autoSpaceDN/>
        <w:bidi w:val="0"/>
        <w:adjustRightInd/>
        <w:snapToGrid/>
        <w:spacing w:after="0" w:line="360" w:lineRule="auto"/>
        <w:jc w:val="left"/>
        <w:textAlignment w:val="auto"/>
        <w:outlineLvl w:val="9"/>
        <w:rPr>
          <w:rFonts w:hint="eastAsia" w:asciiTheme="minorEastAsia" w:hAnsiTheme="minorEastAsia" w:eastAsiaTheme="minorEastAsia" w:cstheme="minorEastAsia"/>
          <w:b/>
          <w:bCs/>
          <w:color w:val="auto"/>
          <w:sz w:val="21"/>
          <w:szCs w:val="21"/>
          <w:lang w:val="en-US" w:eastAsia="zh-CN"/>
        </w:rPr>
      </w:pPr>
    </w:p>
    <w:p>
      <w:pPr>
        <w:pStyle w:val="2"/>
        <w:keepNext w:val="0"/>
        <w:keepLines w:val="0"/>
        <w:pageBreakBefore w:val="0"/>
        <w:widowControl w:val="0"/>
        <w:numPr>
          <w:ilvl w:val="0"/>
          <w:numId w:val="0"/>
        </w:numPr>
        <w:tabs>
          <w:tab w:val="left" w:pos="0"/>
          <w:tab w:val="left" w:pos="993"/>
          <w:tab w:val="left" w:pos="1134"/>
          <w:tab w:val="clear" w:pos="630"/>
        </w:tabs>
        <w:kinsoku/>
        <w:wordWrap/>
        <w:overflowPunct/>
        <w:topLinePunct w:val="0"/>
        <w:autoSpaceDE/>
        <w:autoSpaceDN/>
        <w:bidi w:val="0"/>
        <w:adjustRightInd/>
        <w:snapToGrid/>
        <w:spacing w:after="0" w:line="360" w:lineRule="auto"/>
        <w:jc w:val="left"/>
        <w:textAlignment w:val="auto"/>
        <w:outlineLvl w:val="9"/>
        <w:rPr>
          <w:rFonts w:hint="eastAsia" w:asciiTheme="minorEastAsia" w:hAnsiTheme="minorEastAsia" w:eastAsiaTheme="minorEastAsia" w:cstheme="minorEastAsia"/>
          <w:b/>
          <w:bCs/>
          <w:color w:val="auto"/>
          <w:sz w:val="21"/>
          <w:szCs w:val="21"/>
          <w:lang w:val="en-US" w:eastAsia="zh-CN"/>
        </w:rPr>
      </w:pPr>
      <w:bookmarkStart w:id="253" w:name="OLE_LINK19"/>
      <w:r>
        <w:rPr>
          <w:rFonts w:hint="eastAsia" w:asciiTheme="minorEastAsia" w:hAnsiTheme="minorEastAsia" w:eastAsiaTheme="minorEastAsia" w:cstheme="minorEastAsia"/>
          <w:b/>
          <w:bCs/>
          <w:color w:val="auto"/>
          <w:sz w:val="21"/>
          <w:szCs w:val="21"/>
          <w:lang w:val="en-US" w:eastAsia="zh-CN"/>
        </w:rPr>
        <w:t>设备2：检验科专用纯水机</w:t>
      </w:r>
    </w:p>
    <w:bookmarkEnd w:id="253"/>
    <w:p>
      <w:pPr>
        <w:numPr>
          <w:ilvl w:val="0"/>
          <w:numId w:val="5"/>
        </w:numPr>
        <w:spacing w:line="300" w:lineRule="exact"/>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适用于医院检验科</w:t>
      </w:r>
      <w:bookmarkStart w:id="254" w:name="OLE_LINK16"/>
      <w:r>
        <w:rPr>
          <w:rFonts w:hint="eastAsia" w:asciiTheme="minorEastAsia" w:hAnsiTheme="minorEastAsia" w:eastAsiaTheme="minorEastAsia" w:cstheme="minorEastAsia"/>
          <w:sz w:val="21"/>
          <w:szCs w:val="21"/>
        </w:rPr>
        <w:t>全自动生化</w:t>
      </w:r>
      <w:r>
        <w:rPr>
          <w:rFonts w:hint="eastAsia" w:asciiTheme="minorEastAsia" w:hAnsiTheme="minorEastAsia" w:eastAsiaTheme="minorEastAsia" w:cstheme="minorEastAsia"/>
          <w:sz w:val="21"/>
          <w:szCs w:val="21"/>
          <w:lang w:val="en-US" w:eastAsia="zh-CN"/>
        </w:rPr>
        <w:t>设备</w:t>
      </w:r>
      <w:r>
        <w:rPr>
          <w:rFonts w:hint="eastAsia" w:asciiTheme="minorEastAsia" w:hAnsiTheme="minorEastAsia" w:eastAsiaTheme="minorEastAsia" w:cstheme="minorEastAsia"/>
          <w:sz w:val="21"/>
          <w:szCs w:val="21"/>
        </w:rPr>
        <w:t>配套</w:t>
      </w:r>
      <w:bookmarkEnd w:id="254"/>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能</w:t>
      </w:r>
      <w:r>
        <w:rPr>
          <w:rFonts w:hint="eastAsia" w:asciiTheme="minorEastAsia" w:hAnsiTheme="minorEastAsia" w:eastAsiaTheme="minorEastAsia" w:cstheme="minorEastAsia"/>
          <w:sz w:val="21"/>
          <w:szCs w:val="21"/>
        </w:rPr>
        <w:t>与全自动生化分析</w:t>
      </w:r>
      <w:r>
        <w:rPr>
          <w:rFonts w:hint="eastAsia" w:asciiTheme="minorEastAsia" w:hAnsiTheme="minorEastAsia" w:eastAsiaTheme="minorEastAsia" w:cstheme="minorEastAsia"/>
          <w:sz w:val="21"/>
          <w:szCs w:val="21"/>
          <w:lang w:val="en-US" w:eastAsia="zh-CN"/>
        </w:rPr>
        <w:t>设备</w:t>
      </w:r>
      <w:r>
        <w:rPr>
          <w:rFonts w:hint="eastAsia" w:asciiTheme="minorEastAsia" w:hAnsiTheme="minorEastAsia" w:eastAsiaTheme="minorEastAsia" w:cstheme="minorEastAsia"/>
          <w:sz w:val="21"/>
          <w:szCs w:val="21"/>
        </w:rPr>
        <w:t>配套用水及生化分析、微生物检查、试剂配液等</w:t>
      </w:r>
      <w:r>
        <w:rPr>
          <w:rFonts w:hint="eastAsia" w:asciiTheme="minorEastAsia" w:hAnsiTheme="minorEastAsia" w:eastAsiaTheme="minorEastAsia" w:cstheme="minorEastAsia"/>
          <w:sz w:val="21"/>
          <w:szCs w:val="21"/>
          <w:lang w:eastAsia="zh-CN"/>
        </w:rPr>
        <w:t>；</w:t>
      </w:r>
    </w:p>
    <w:p>
      <w:pPr>
        <w:pStyle w:val="219"/>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exact"/>
        <w:ind w:left="845" w:leftChars="0" w:hanging="425"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尺寸: ≤</w:t>
      </w:r>
      <w:r>
        <w:rPr>
          <w:rFonts w:hint="eastAsia" w:asciiTheme="minorEastAsia" w:hAnsiTheme="minorEastAsia" w:eastAsiaTheme="minorEastAsia" w:cstheme="minorEastAsia"/>
          <w:sz w:val="21"/>
          <w:szCs w:val="21"/>
          <w:lang w:val="en-US" w:eastAsia="zh-CN"/>
        </w:rPr>
        <w:t>500mm</w:t>
      </w:r>
      <w:r>
        <w:rPr>
          <w:rFonts w:hint="eastAsia" w:asciiTheme="minorEastAsia" w:hAnsiTheme="minorEastAsia" w:eastAsiaTheme="minorEastAsia" w:cstheme="minorEastAsia"/>
          <w:sz w:val="21"/>
          <w:szCs w:val="21"/>
        </w:rPr>
        <w:t>X</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00</w:t>
      </w:r>
      <w:r>
        <w:rPr>
          <w:rFonts w:hint="eastAsia" w:asciiTheme="minorEastAsia" w:hAnsiTheme="minorEastAsia" w:eastAsiaTheme="minorEastAsia" w:cstheme="minorEastAsia"/>
          <w:sz w:val="21"/>
          <w:szCs w:val="21"/>
          <w:lang w:val="en-US" w:eastAsia="zh-CN"/>
        </w:rPr>
        <w:t>mm</w:t>
      </w:r>
      <w:r>
        <w:rPr>
          <w:rFonts w:hint="eastAsia" w:asciiTheme="minorEastAsia" w:hAnsiTheme="minorEastAsia" w:eastAsiaTheme="minorEastAsia" w:cstheme="minorEastAsia"/>
          <w:sz w:val="21"/>
          <w:szCs w:val="21"/>
        </w:rPr>
        <w:t>X1500</w:t>
      </w:r>
      <w:r>
        <w:rPr>
          <w:rFonts w:hint="eastAsia" w:asciiTheme="minorEastAsia" w:hAnsiTheme="minorEastAsia" w:eastAsiaTheme="minorEastAsia" w:cstheme="minorEastAsia"/>
          <w:sz w:val="21"/>
          <w:szCs w:val="21"/>
          <w:lang w:val="en-US" w:eastAsia="zh-CN"/>
        </w:rPr>
        <w:t>mm(</w:t>
      </w:r>
      <w:r>
        <w:rPr>
          <w:rFonts w:hint="eastAsia" w:asciiTheme="minorEastAsia" w:hAnsiTheme="minorEastAsia" w:eastAsiaTheme="minorEastAsia" w:cstheme="minorEastAsia"/>
          <w:sz w:val="21"/>
          <w:szCs w:val="21"/>
        </w:rPr>
        <w:t>长×宽×高</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；占地面积 ≤</w:t>
      </w:r>
      <w:r>
        <w:rPr>
          <w:rFonts w:hint="eastAsia" w:asciiTheme="minorEastAsia" w:hAnsiTheme="minorEastAsia" w:eastAsiaTheme="minorEastAsia" w:cstheme="minorEastAsia"/>
          <w:sz w:val="21"/>
          <w:szCs w:val="21"/>
          <w:lang w:val="en-US" w:eastAsia="zh-CN"/>
        </w:rPr>
        <w:t>10㎡；</w:t>
      </w:r>
    </w:p>
    <w:p>
      <w:pPr>
        <w:pStyle w:val="219"/>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exact"/>
        <w:ind w:left="845" w:leftChars="0" w:hanging="425"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进水水源:城市自来水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进水管径≥DN20口径</w:t>
      </w:r>
      <w:r>
        <w:rPr>
          <w:rFonts w:hint="eastAsia" w:asciiTheme="minorEastAsia" w:hAnsiTheme="minorEastAsia" w:eastAsiaTheme="minorEastAsia" w:cstheme="minorEastAsia"/>
          <w:sz w:val="21"/>
          <w:szCs w:val="21"/>
          <w:lang w:eastAsia="zh-CN"/>
        </w:rPr>
        <w:t>；</w:t>
      </w:r>
    </w:p>
    <w:p>
      <w:pPr>
        <w:pStyle w:val="219"/>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exact"/>
        <w:ind w:left="845" w:leftChars="0" w:hanging="425"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出水水质:电导率≤1μs</w:t>
      </w:r>
      <w:bookmarkStart w:id="255" w:name="OLE_LINK56"/>
      <w:r>
        <w:rPr>
          <w:rFonts w:hint="eastAsia" w:asciiTheme="minorEastAsia" w:hAnsiTheme="minorEastAsia" w:eastAsiaTheme="minorEastAsia" w:cstheme="minorEastAsia"/>
          <w:sz w:val="21"/>
          <w:szCs w:val="21"/>
        </w:rPr>
        <w:t>/</w:t>
      </w:r>
      <w:bookmarkEnd w:id="255"/>
      <w:r>
        <w:rPr>
          <w:rFonts w:hint="eastAsia" w:asciiTheme="minorEastAsia" w:hAnsiTheme="minorEastAsia" w:eastAsiaTheme="minorEastAsia" w:cstheme="minorEastAsia"/>
          <w:sz w:val="21"/>
          <w:szCs w:val="21"/>
        </w:rPr>
        <w:t>cm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25℃</w:t>
      </w:r>
      <w:r>
        <w:rPr>
          <w:rFonts w:hint="eastAsia" w:asciiTheme="minorEastAsia" w:hAnsiTheme="minorEastAsia" w:eastAsiaTheme="minorEastAsia" w:cstheme="minorEastAsia"/>
          <w:sz w:val="21"/>
          <w:szCs w:val="21"/>
          <w:lang w:eastAsia="zh-CN"/>
        </w:rPr>
        <w:t>）；</w:t>
      </w:r>
      <w:bookmarkStart w:id="256" w:name="OLE_LINK55"/>
      <w:r>
        <w:rPr>
          <w:rFonts w:hint="eastAsia" w:asciiTheme="minorEastAsia" w:hAnsiTheme="minorEastAsia" w:eastAsiaTheme="minorEastAsia" w:cstheme="minorEastAsia"/>
          <w:sz w:val="21"/>
          <w:szCs w:val="21"/>
        </w:rPr>
        <w:t>电阻率5-10MΩ</w:t>
      </w:r>
      <w:bookmarkStart w:id="257" w:name="OLE_LINK45"/>
      <w:r>
        <w:rPr>
          <w:rFonts w:hint="eastAsia" w:asciiTheme="minorEastAsia" w:hAnsiTheme="minorEastAsia" w:eastAsiaTheme="minorEastAsia" w:cstheme="minorEastAsia"/>
          <w:sz w:val="21"/>
          <w:szCs w:val="21"/>
        </w:rPr>
        <w:t>/cm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25℃</w:t>
      </w:r>
      <w:r>
        <w:rPr>
          <w:rFonts w:hint="eastAsia" w:asciiTheme="minorEastAsia" w:hAnsiTheme="minorEastAsia" w:eastAsiaTheme="minorEastAsia" w:cstheme="minorEastAsia"/>
          <w:sz w:val="21"/>
          <w:szCs w:val="21"/>
          <w:lang w:eastAsia="zh-CN"/>
        </w:rPr>
        <w:t>）</w:t>
      </w:r>
      <w:bookmarkEnd w:id="256"/>
      <w:bookmarkEnd w:id="257"/>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颗粒物（大于0.05μm）含量：≤1/ml</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微生物/菌落数含量：≤1cfu/ml</w:t>
      </w:r>
      <w:r>
        <w:rPr>
          <w:rFonts w:hint="eastAsia" w:asciiTheme="minorEastAsia" w:hAnsiTheme="minorEastAsia" w:eastAsiaTheme="minorEastAsia" w:cstheme="minorEastAsia"/>
          <w:sz w:val="21"/>
          <w:szCs w:val="21"/>
          <w:lang w:eastAsia="zh-CN"/>
        </w:rPr>
        <w:t>；</w:t>
      </w:r>
    </w:p>
    <w:p>
      <w:pPr>
        <w:pStyle w:val="219"/>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exact"/>
        <w:ind w:left="845" w:leftChars="0" w:hanging="425"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产水水质符合医院检验科实验室用水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kern w:val="2"/>
          <w:sz w:val="21"/>
          <w:szCs w:val="21"/>
          <w:lang w:val="en-US" w:eastAsia="zh-CN" w:bidi="ar-SA"/>
        </w:rPr>
        <w:t>输送泵组采取一用一备；</w:t>
      </w:r>
    </w:p>
    <w:p>
      <w:pPr>
        <w:numPr>
          <w:ilvl w:val="0"/>
          <w:numId w:val="5"/>
        </w:numPr>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具备</w:t>
      </w:r>
      <w:r>
        <w:rPr>
          <w:rFonts w:hint="eastAsia" w:asciiTheme="minorEastAsia" w:hAnsiTheme="minorEastAsia" w:eastAsiaTheme="minorEastAsia" w:cstheme="minorEastAsia"/>
          <w:sz w:val="21"/>
          <w:szCs w:val="21"/>
        </w:rPr>
        <w:t>大容量预处理过滤系统，能有效地去除原水中杂质及悬浮颗粒物质，降低原水中的有机物及余氯等污染物质；</w:t>
      </w:r>
    </w:p>
    <w:p>
      <w:pPr>
        <w:numPr>
          <w:ilvl w:val="0"/>
          <w:numId w:val="5"/>
        </w:numPr>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全自动控制设备运行，具有开机自动冲洗反渗透膜，冲洗完成后自动复位，具有预处理系统自动冲洗及再生功能，纯水箱液位和纯水输送自控功能，</w:t>
      </w:r>
      <w:r>
        <w:rPr>
          <w:rFonts w:hint="eastAsia" w:asciiTheme="minorEastAsia" w:hAnsiTheme="minorEastAsia" w:eastAsiaTheme="minorEastAsia" w:cstheme="minorEastAsia"/>
          <w:sz w:val="21"/>
          <w:szCs w:val="21"/>
          <w:lang w:val="en-US" w:eastAsia="zh-CN"/>
        </w:rPr>
        <w:t>具备自动产水与纯水制备待机功能，无需人员看守；</w:t>
      </w:r>
    </w:p>
    <w:p>
      <w:pPr>
        <w:numPr>
          <w:ilvl w:val="0"/>
          <w:numId w:val="5"/>
        </w:numPr>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系统采用</w:t>
      </w:r>
      <w:r>
        <w:rPr>
          <w:rFonts w:hint="eastAsia" w:asciiTheme="minorEastAsia" w:hAnsiTheme="minorEastAsia" w:eastAsiaTheme="minorEastAsia" w:cstheme="minorEastAsia"/>
          <w:kern w:val="0"/>
          <w:sz w:val="21"/>
          <w:szCs w:val="21"/>
        </w:rPr>
        <w:t>自动控制</w:t>
      </w:r>
      <w:r>
        <w:rPr>
          <w:rFonts w:hint="eastAsia" w:asciiTheme="minorEastAsia" w:hAnsiTheme="minorEastAsia" w:eastAsiaTheme="minorEastAsia" w:cstheme="minorEastAsia"/>
          <w:sz w:val="21"/>
          <w:szCs w:val="21"/>
        </w:rPr>
        <w:t>，且具备手动与自动独立运行一键式操作功能，</w:t>
      </w:r>
      <w:r>
        <w:rPr>
          <w:rFonts w:hint="eastAsia" w:asciiTheme="minorEastAsia" w:hAnsiTheme="minorEastAsia" w:eastAsiaTheme="minorEastAsia" w:cstheme="minorEastAsia"/>
          <w:sz w:val="21"/>
          <w:szCs w:val="21"/>
          <w:lang w:val="en-US" w:eastAsia="zh-CN"/>
        </w:rPr>
        <w:t>能直观显示</w:t>
      </w:r>
      <w:r>
        <w:rPr>
          <w:rFonts w:hint="eastAsia" w:asciiTheme="minorEastAsia" w:hAnsiTheme="minorEastAsia" w:eastAsiaTheme="minorEastAsia" w:cstheme="minorEastAsia"/>
          <w:sz w:val="21"/>
          <w:szCs w:val="21"/>
        </w:rPr>
        <w:t>运行状态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p>
    <w:p>
      <w:pPr>
        <w:numPr>
          <w:ilvl w:val="0"/>
          <w:numId w:val="5"/>
        </w:numPr>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系统具备开机自检、缺水保护报警、停电自动复位、满水自动停机、高低压自动保护； </w:t>
      </w:r>
    </w:p>
    <w:p>
      <w:pPr>
        <w:pStyle w:val="219"/>
        <w:keepNext w:val="0"/>
        <w:keepLines w:val="0"/>
        <w:pageBreakBefore w:val="0"/>
        <w:widowControl w:val="0"/>
        <w:numPr>
          <w:ilvl w:val="0"/>
          <w:numId w:val="5"/>
        </w:numPr>
        <w:kinsoku/>
        <w:wordWrap/>
        <w:overflowPunct/>
        <w:topLinePunct w:val="0"/>
        <w:autoSpaceDE/>
        <w:autoSpaceDN/>
        <w:bidi w:val="0"/>
        <w:adjustRightInd/>
        <w:snapToGrid/>
        <w:spacing w:after="0" w:afterLines="0" w:line="360" w:lineRule="exact"/>
        <w:ind w:left="845" w:leftChars="0" w:hanging="425" w:firstLineChars="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具有故障识别和电压安全及过载保护功能；停电自动复位安全报警系统；自动保护和报警功能；局部出现问题，系统自动停机等；</w:t>
      </w:r>
    </w:p>
    <w:p>
      <w:pPr>
        <w:numPr>
          <w:ilvl w:val="0"/>
          <w:numId w:val="5"/>
        </w:numPr>
        <w:ind w:left="845" w:leftChars="0" w:hanging="425"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能在线实时显示运行状态及参数，包括但不限于：压力、电导、电阻、流量；</w:t>
      </w:r>
    </w:p>
    <w:p>
      <w:pPr>
        <w:numPr>
          <w:ilvl w:val="0"/>
          <w:numId w:val="5"/>
        </w:numPr>
        <w:ind w:left="845" w:leftChars="0" w:hanging="425"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能</w:t>
      </w:r>
      <w:r>
        <w:rPr>
          <w:rFonts w:hint="eastAsia" w:asciiTheme="minorEastAsia" w:hAnsiTheme="minorEastAsia" w:eastAsiaTheme="minorEastAsia" w:cstheme="minorEastAsia"/>
          <w:sz w:val="21"/>
          <w:szCs w:val="21"/>
        </w:rPr>
        <w:t xml:space="preserve">在线监测与显示产水水质，可即时测量产水的水质； </w:t>
      </w:r>
    </w:p>
    <w:p>
      <w:pPr>
        <w:numPr>
          <w:ilvl w:val="0"/>
          <w:numId w:val="5"/>
        </w:numPr>
        <w:ind w:left="845" w:leftChars="0" w:hanging="425"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具备纯水流量及浓水流量显示，源水压力和反渗透膜进水压力。</w:t>
      </w:r>
    </w:p>
    <w:p>
      <w:pPr>
        <w:numPr>
          <w:ilvl w:val="0"/>
          <w:numId w:val="5"/>
        </w:numPr>
        <w:ind w:left="845" w:leftChars="0" w:hanging="425"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配置清单：</w:t>
      </w:r>
    </w:p>
    <w:tbl>
      <w:tblPr>
        <w:tblStyle w:val="48"/>
        <w:tblW w:w="6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4"/>
        <w:gridCol w:w="2100"/>
        <w:gridCol w:w="1050"/>
        <w:gridCol w:w="1283"/>
        <w:gridCol w:w="1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配置清单</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数量</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1"/>
                <w:szCs w:val="21"/>
                <w:u w:val="none"/>
              </w:rPr>
            </w:pPr>
            <w:r>
              <w:rPr>
                <w:rFonts w:hint="eastAsia" w:asciiTheme="minorEastAsia" w:hAnsiTheme="minorEastAsia" w:eastAsiaTheme="minorEastAsia" w:cstheme="minorEastAsia"/>
                <w:b/>
                <w:i w:val="0"/>
                <w:color w:val="000000"/>
                <w:kern w:val="0"/>
                <w:sz w:val="21"/>
                <w:szCs w:val="21"/>
                <w:u w:val="none"/>
                <w:lang w:val="en-US" w:eastAsia="zh-CN" w:bidi="ar"/>
              </w:rPr>
              <w:t>单位</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1"/>
                <w:szCs w:val="21"/>
                <w:u w:val="none"/>
                <w:lang w:val="en-US" w:eastAsia="zh-CN" w:bidi="ar"/>
              </w:rPr>
            </w:pPr>
            <w:r>
              <w:rPr>
                <w:rFonts w:hint="eastAsia" w:asciiTheme="minorEastAsia" w:hAnsiTheme="minorEastAsia" w:eastAsiaTheme="minorEastAsia" w:cstheme="minorEastAsia"/>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源水箱</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源水增压泵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过滤器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活性炭过滤器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软化过滤器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盐箱</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保安过滤器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机架</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高压泵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一级反渗透</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纯化装置</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纯水箱</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纯水变频输送泵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台</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压力开关</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个</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控制柜</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套</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 w:hRule="atLeast"/>
          <w:jc w:val="center"/>
        </w:trPr>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管件，辅料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批</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outlineLvl w:val="9"/>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商务要求</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bookmarkStart w:id="258" w:name="OLE_LINK47"/>
      <w:r>
        <w:rPr>
          <w:rFonts w:hint="eastAsia" w:ascii="宋体" w:hAnsi="宋体" w:cs="宋体"/>
          <w:b/>
          <w:bCs/>
          <w:color w:val="auto"/>
          <w:szCs w:val="21"/>
          <w:highlight w:val="none"/>
          <w:lang w:val="en-US" w:eastAsia="zh-CN"/>
        </w:rPr>
        <w:t>（一）</w:t>
      </w:r>
      <w:r>
        <w:rPr>
          <w:rFonts w:hint="eastAsia" w:ascii="宋体" w:hAnsi="宋体" w:eastAsia="宋体" w:cs="宋体"/>
          <w:b/>
          <w:color w:val="auto"/>
          <w:sz w:val="21"/>
          <w:szCs w:val="21"/>
        </w:rPr>
        <w:t>售后服务要求</w:t>
      </w:r>
    </w:p>
    <w:bookmarkEnd w:id="258"/>
    <w:p>
      <w:pPr>
        <w:numPr>
          <w:ilvl w:val="0"/>
          <w:numId w:val="6"/>
        </w:numPr>
        <w:autoSpaceDE w:val="0"/>
        <w:autoSpaceDN w:val="0"/>
        <w:adjustRightInd w:val="0"/>
        <w:snapToGrid w:val="0"/>
        <w:spacing w:line="360" w:lineRule="auto"/>
        <w:ind w:left="874" w:leftChars="0" w:hanging="454" w:firstLineChars="0"/>
        <w:outlineLvl w:val="9"/>
        <w:rPr>
          <w:rFonts w:hint="eastAsia" w:ascii="宋体" w:hAnsi="宋体" w:eastAsia="宋体" w:cs="宋体"/>
          <w:color w:val="auto"/>
          <w:sz w:val="21"/>
          <w:szCs w:val="21"/>
        </w:rPr>
      </w:pPr>
      <w:bookmarkStart w:id="259" w:name="OLE_LINK32"/>
      <w:r>
        <w:rPr>
          <w:rFonts w:hint="eastAsia" w:ascii="宋体" w:hAnsi="宋体" w:cs="宋体"/>
          <w:color w:val="auto"/>
          <w:sz w:val="21"/>
          <w:szCs w:val="21"/>
          <w:lang w:val="en-US" w:eastAsia="zh-CN"/>
        </w:rPr>
        <w:t>所有设备在</w:t>
      </w:r>
      <w:r>
        <w:rPr>
          <w:rFonts w:hint="eastAsia" w:ascii="宋体" w:hAnsi="宋体" w:eastAsia="宋体" w:cs="宋体"/>
          <w:color w:val="auto"/>
          <w:sz w:val="21"/>
          <w:szCs w:val="21"/>
        </w:rPr>
        <w:t>签订合同后60天内完成供货</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设备</w:t>
      </w:r>
      <w:r>
        <w:rPr>
          <w:rFonts w:hint="eastAsia" w:ascii="宋体" w:hAnsi="宋体" w:eastAsia="宋体" w:cs="宋体"/>
          <w:color w:val="auto"/>
          <w:sz w:val="21"/>
          <w:szCs w:val="21"/>
        </w:rPr>
        <w:t>质量保证期（简称“质保期”）自验收合格之日起</w:t>
      </w:r>
      <w:r>
        <w:rPr>
          <w:rFonts w:hint="eastAsia" w:asciiTheme="minorEastAsia" w:hAnsiTheme="minorEastAsia" w:eastAsiaTheme="minorEastAsia" w:cstheme="minorEastAsia"/>
          <w:color w:val="auto"/>
          <w:sz w:val="21"/>
          <w:szCs w:val="21"/>
          <w:highlight w:val="none"/>
          <w:lang w:eastAsia="zh-CN"/>
        </w:rPr>
        <w:t>电子支气管内镜</w:t>
      </w:r>
      <w:bookmarkStart w:id="260" w:name="OLE_LINK71"/>
      <w:r>
        <w:rPr>
          <w:rFonts w:hint="eastAsia" w:asciiTheme="minorEastAsia" w:hAnsiTheme="minorEastAsia" w:eastAsiaTheme="minorEastAsia" w:cstheme="minorEastAsia"/>
          <w:color w:val="auto"/>
          <w:sz w:val="21"/>
          <w:szCs w:val="21"/>
          <w:highlight w:val="none"/>
          <w:lang w:val="en-US" w:eastAsia="zh-CN"/>
        </w:rPr>
        <w:t>整体原厂全保</w:t>
      </w:r>
      <w:r>
        <w:rPr>
          <w:rFonts w:hint="eastAsia" w:ascii="宋体" w:hAnsi="宋体" w:eastAsia="宋体" w:cs="宋体"/>
          <w:color w:val="auto"/>
          <w:sz w:val="21"/>
          <w:szCs w:val="21"/>
          <w:u w:val="none"/>
          <w:lang w:val="en-US" w:eastAsia="zh-CN"/>
        </w:rPr>
        <w:t>≥</w:t>
      </w:r>
      <w:r>
        <w:rPr>
          <w:rFonts w:hint="eastAsia" w:ascii="宋体" w:hAnsi="宋体" w:cs="宋体"/>
          <w:color w:val="auto"/>
          <w:sz w:val="21"/>
          <w:szCs w:val="21"/>
          <w:lang w:eastAsia="zh-CN"/>
        </w:rPr>
        <w:t>1年</w:t>
      </w:r>
      <w:bookmarkEnd w:id="260"/>
      <w:r>
        <w:rPr>
          <w:rFonts w:hint="eastAsia" w:ascii="宋体" w:hAnsi="宋体" w:cs="宋体"/>
          <w:color w:val="auto"/>
          <w:sz w:val="21"/>
          <w:szCs w:val="21"/>
          <w:lang w:eastAsia="zh-CN"/>
        </w:rPr>
        <w:t>、</w:t>
      </w:r>
      <w:r>
        <w:rPr>
          <w:rFonts w:hint="eastAsia" w:asciiTheme="minorEastAsia" w:hAnsiTheme="minorEastAsia" w:eastAsiaTheme="minorEastAsia" w:cstheme="minorEastAsia"/>
          <w:color w:val="auto"/>
          <w:sz w:val="21"/>
          <w:szCs w:val="21"/>
          <w:highlight w:val="none"/>
          <w:lang w:eastAsia="zh-CN"/>
        </w:rPr>
        <w:t>检验科专用纯水机</w:t>
      </w:r>
      <w:r>
        <w:rPr>
          <w:rFonts w:hint="eastAsia" w:asciiTheme="minorEastAsia" w:hAnsiTheme="minorEastAsia" w:eastAsiaTheme="minorEastAsia" w:cstheme="minorEastAsia"/>
          <w:color w:val="auto"/>
          <w:sz w:val="21"/>
          <w:szCs w:val="21"/>
          <w:highlight w:val="none"/>
          <w:lang w:val="en-US" w:eastAsia="zh-CN"/>
        </w:rPr>
        <w:t>整体原厂全保</w:t>
      </w:r>
      <w:r>
        <w:rPr>
          <w:rFonts w:hint="eastAsia" w:ascii="宋体" w:hAnsi="宋体" w:eastAsia="宋体" w:cs="宋体"/>
          <w:color w:val="auto"/>
          <w:sz w:val="21"/>
          <w:szCs w:val="21"/>
          <w:u w:val="none"/>
          <w:lang w:val="en-US"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年，</w:t>
      </w:r>
      <w:r>
        <w:rPr>
          <w:rFonts w:hint="eastAsia" w:ascii="宋体" w:hAnsi="宋体" w:eastAsia="宋体" w:cs="宋体"/>
          <w:color w:val="auto"/>
          <w:sz w:val="21"/>
          <w:szCs w:val="21"/>
        </w:rPr>
        <w:t>质保期自验收报告中最靠后的落款时间之日起算</w:t>
      </w:r>
      <w:r>
        <w:rPr>
          <w:rFonts w:hint="eastAsia" w:ascii="宋体" w:hAnsi="宋体" w:cs="宋体"/>
          <w:color w:val="auto"/>
          <w:sz w:val="21"/>
          <w:szCs w:val="21"/>
          <w:lang w:eastAsia="zh-CN"/>
        </w:rPr>
        <w:t>。</w:t>
      </w:r>
    </w:p>
    <w:bookmarkEnd w:id="259"/>
    <w:p>
      <w:pPr>
        <w:numPr>
          <w:ilvl w:val="0"/>
          <w:numId w:val="6"/>
        </w:numPr>
        <w:autoSpaceDE w:val="0"/>
        <w:autoSpaceDN w:val="0"/>
        <w:adjustRightInd w:val="0"/>
        <w:snapToGrid w:val="0"/>
        <w:spacing w:line="360" w:lineRule="auto"/>
        <w:ind w:left="874" w:leftChars="0" w:hanging="454"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质保期内如零配件损坏，不维修，只更换原厂零配件。质保期内设备维修保养产生的所有费用包含在</w:t>
      </w:r>
      <w:r>
        <w:rPr>
          <w:rFonts w:hint="eastAsia" w:ascii="宋体" w:hAnsi="宋体" w:eastAsia="宋体" w:cs="宋体"/>
          <w:color w:val="auto"/>
          <w:sz w:val="21"/>
          <w:szCs w:val="21"/>
          <w:lang w:eastAsia="zh-CN"/>
        </w:rPr>
        <w:t>项目报价</w:t>
      </w:r>
      <w:r>
        <w:rPr>
          <w:rFonts w:hint="eastAsia" w:ascii="宋体" w:hAnsi="宋体" w:eastAsia="宋体" w:cs="宋体"/>
          <w:color w:val="auto"/>
          <w:sz w:val="21"/>
          <w:szCs w:val="21"/>
        </w:rPr>
        <w:t>之中，</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不再向</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支付其他任何费用。</w:t>
      </w:r>
    </w:p>
    <w:p>
      <w:pPr>
        <w:numPr>
          <w:ilvl w:val="0"/>
          <w:numId w:val="6"/>
        </w:numPr>
        <w:autoSpaceDE w:val="0"/>
        <w:autoSpaceDN w:val="0"/>
        <w:adjustRightInd w:val="0"/>
        <w:snapToGrid w:val="0"/>
        <w:spacing w:line="360" w:lineRule="auto"/>
        <w:ind w:left="874" w:leftChars="0" w:hanging="454" w:firstLineChars="0"/>
        <w:outlineLvl w:val="9"/>
        <w:rPr>
          <w:rFonts w:hint="eastAsia" w:ascii="宋体" w:hAnsi="宋体" w:eastAsia="宋体" w:cs="宋体"/>
          <w:b w:val="0"/>
          <w:bCs/>
          <w:color w:val="auto"/>
          <w:sz w:val="21"/>
          <w:szCs w:val="21"/>
          <w:lang w:val="en-US" w:eastAsia="zh-CN"/>
        </w:rPr>
      </w:pPr>
      <w:r>
        <w:rPr>
          <w:rFonts w:hint="eastAsia" w:ascii="宋体" w:hAnsi="宋体" w:cs="宋体"/>
          <w:color w:val="auto"/>
          <w:sz w:val="21"/>
          <w:szCs w:val="21"/>
        </w:rPr>
        <w:t>设备发生故障后，接到报修通知后</w:t>
      </w:r>
      <w:bookmarkStart w:id="261" w:name="OLE_LINK33"/>
      <w:r>
        <w:rPr>
          <w:rFonts w:hint="eastAsia" w:ascii="宋体" w:hAnsi="宋体" w:cs="宋体"/>
          <w:color w:val="auto"/>
          <w:sz w:val="21"/>
          <w:szCs w:val="21"/>
          <w:u w:val="single"/>
          <w:lang w:val="en-US" w:eastAsia="zh-CN"/>
        </w:rPr>
        <w:t xml:space="preserve"> 12 </w:t>
      </w:r>
      <w:bookmarkEnd w:id="261"/>
      <w:r>
        <w:rPr>
          <w:rFonts w:hint="eastAsia" w:ascii="宋体" w:hAnsi="宋体" w:cs="宋体"/>
          <w:color w:val="auto"/>
          <w:sz w:val="21"/>
          <w:szCs w:val="21"/>
        </w:rPr>
        <w:t>小时内响应，</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24 </w:t>
      </w:r>
      <w:r>
        <w:rPr>
          <w:rFonts w:hint="eastAsia" w:ascii="宋体" w:hAnsi="宋体" w:cs="宋体"/>
          <w:color w:val="auto"/>
          <w:sz w:val="21"/>
          <w:szCs w:val="21"/>
        </w:rPr>
        <w:t>小时内安排工程师到达现场，</w:t>
      </w:r>
      <w:r>
        <w:rPr>
          <w:rFonts w:hint="eastAsia" w:ascii="宋体" w:hAnsi="宋体" w:cs="宋体"/>
          <w:color w:val="auto"/>
          <w:sz w:val="21"/>
          <w:szCs w:val="21"/>
          <w:lang w:val="en-US" w:eastAsia="zh-CN"/>
        </w:rPr>
        <w:t>到达现场后</w:t>
      </w:r>
      <w:r>
        <w:rPr>
          <w:rFonts w:hint="eastAsia" w:ascii="宋体" w:hAnsi="宋体" w:cs="宋体"/>
          <w:color w:val="auto"/>
          <w:sz w:val="21"/>
          <w:szCs w:val="21"/>
          <w:u w:val="single"/>
          <w:lang w:val="en-US" w:eastAsia="zh-CN"/>
        </w:rPr>
        <w:t xml:space="preserve"> 24</w:t>
      </w:r>
      <w:r>
        <w:rPr>
          <w:rFonts w:hint="eastAsia" w:ascii="宋体" w:hAnsi="宋体" w:cs="宋体"/>
          <w:color w:val="auto"/>
          <w:sz w:val="21"/>
          <w:szCs w:val="21"/>
          <w:u w:val="single"/>
        </w:rPr>
        <w:t xml:space="preserve"> </w:t>
      </w:r>
      <w:r>
        <w:rPr>
          <w:rFonts w:hint="eastAsia" w:ascii="宋体" w:hAnsi="宋体" w:cs="宋体"/>
          <w:color w:val="auto"/>
          <w:sz w:val="21"/>
          <w:szCs w:val="21"/>
        </w:rPr>
        <w:t>小时内处理完毕。若在</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24 </w:t>
      </w:r>
      <w:r>
        <w:rPr>
          <w:rFonts w:hint="eastAsia" w:ascii="宋体" w:hAnsi="宋体" w:cs="宋体"/>
          <w:color w:val="auto"/>
          <w:sz w:val="21"/>
          <w:szCs w:val="21"/>
          <w:u w:val="single"/>
        </w:rPr>
        <w:t xml:space="preserve"> </w:t>
      </w:r>
      <w:r>
        <w:rPr>
          <w:rFonts w:hint="eastAsia" w:ascii="宋体" w:hAnsi="宋体" w:cs="宋体"/>
          <w:color w:val="auto"/>
          <w:sz w:val="21"/>
          <w:szCs w:val="21"/>
        </w:rPr>
        <w:t>小时内仍未能有效解决，需免费提供同档次的设备予</w:t>
      </w:r>
      <w:r>
        <w:rPr>
          <w:rFonts w:hint="eastAsia" w:ascii="宋体" w:hAnsi="宋体" w:cs="宋体"/>
          <w:color w:val="auto"/>
          <w:sz w:val="21"/>
          <w:szCs w:val="21"/>
          <w:lang w:eastAsia="zh-CN"/>
        </w:rPr>
        <w:t>采购人</w:t>
      </w:r>
      <w:r>
        <w:rPr>
          <w:rFonts w:hint="eastAsia" w:ascii="宋体" w:hAnsi="宋体" w:cs="宋体"/>
          <w:color w:val="auto"/>
          <w:sz w:val="21"/>
          <w:szCs w:val="21"/>
        </w:rPr>
        <w:t>临时使用，所有费用包含在</w:t>
      </w:r>
      <w:bookmarkStart w:id="262" w:name="OLE_LINK26"/>
      <w:r>
        <w:rPr>
          <w:rFonts w:hint="eastAsia" w:ascii="宋体" w:hAnsi="宋体" w:cs="宋体"/>
          <w:color w:val="auto"/>
          <w:sz w:val="21"/>
          <w:szCs w:val="21"/>
          <w:lang w:val="en-US" w:eastAsia="zh-CN"/>
        </w:rPr>
        <w:t>项目报价</w:t>
      </w:r>
      <w:bookmarkEnd w:id="262"/>
      <w:r>
        <w:rPr>
          <w:rFonts w:hint="eastAsia" w:ascii="宋体" w:hAnsi="宋体" w:cs="宋体"/>
          <w:color w:val="auto"/>
          <w:sz w:val="21"/>
          <w:szCs w:val="21"/>
        </w:rPr>
        <w:t>之中，</w:t>
      </w:r>
      <w:r>
        <w:rPr>
          <w:rFonts w:hint="eastAsia" w:ascii="宋体" w:hAnsi="宋体" w:cs="宋体"/>
          <w:color w:val="auto"/>
          <w:sz w:val="21"/>
          <w:szCs w:val="21"/>
          <w:lang w:eastAsia="zh-CN"/>
        </w:rPr>
        <w:t>采购人</w:t>
      </w:r>
      <w:r>
        <w:rPr>
          <w:rFonts w:hint="eastAsia" w:ascii="宋体" w:hAnsi="宋体" w:cs="宋体"/>
          <w:color w:val="auto"/>
          <w:sz w:val="21"/>
          <w:szCs w:val="21"/>
        </w:rPr>
        <w:t>不再向</w:t>
      </w:r>
      <w:r>
        <w:rPr>
          <w:rFonts w:hint="eastAsia" w:ascii="宋体" w:hAnsi="宋体" w:cs="宋体"/>
          <w:color w:val="auto"/>
          <w:sz w:val="21"/>
          <w:szCs w:val="21"/>
          <w:lang w:eastAsia="zh-CN"/>
        </w:rPr>
        <w:t>供应商</w:t>
      </w:r>
      <w:r>
        <w:rPr>
          <w:rFonts w:hint="eastAsia" w:ascii="宋体" w:hAnsi="宋体" w:cs="宋体"/>
          <w:color w:val="auto"/>
          <w:sz w:val="21"/>
          <w:szCs w:val="21"/>
        </w:rPr>
        <w:t>支付其他任何费用。</w:t>
      </w:r>
      <w:r>
        <w:rPr>
          <w:rFonts w:hint="eastAsia" w:ascii="宋体" w:hAnsi="宋体" w:eastAsia="宋体" w:cs="宋体"/>
          <w:b w:val="0"/>
          <w:bCs/>
          <w:color w:val="auto"/>
          <w:sz w:val="21"/>
          <w:szCs w:val="21"/>
          <w:lang w:val="en-US" w:eastAsia="zh-CN"/>
        </w:rPr>
        <w:t xml:space="preserve"> </w:t>
      </w:r>
    </w:p>
    <w:p>
      <w:pPr>
        <w:numPr>
          <w:ilvl w:val="0"/>
          <w:numId w:val="6"/>
        </w:numPr>
        <w:autoSpaceDE w:val="0"/>
        <w:autoSpaceDN w:val="0"/>
        <w:adjustRightInd w:val="0"/>
        <w:snapToGrid w:val="0"/>
        <w:spacing w:line="360" w:lineRule="auto"/>
        <w:ind w:left="874" w:leftChars="0" w:hanging="454" w:firstLineChars="0"/>
        <w:outlineLvl w:val="9"/>
        <w:rPr>
          <w:rFonts w:hint="eastAsia" w:ascii="宋体" w:hAnsi="宋体" w:eastAsia="宋体" w:cs="宋体"/>
          <w:b w:val="0"/>
          <w:bCs/>
          <w:color w:val="auto"/>
          <w:sz w:val="21"/>
          <w:szCs w:val="21"/>
          <w:lang w:val="en-US" w:eastAsia="zh-CN"/>
        </w:rPr>
      </w:pPr>
      <w:bookmarkStart w:id="263" w:name="OLE_LINK25"/>
      <w:r>
        <w:rPr>
          <w:rFonts w:hint="eastAsia" w:ascii="宋体" w:hAnsi="宋体" w:eastAsia="宋体" w:cs="宋体"/>
          <w:b w:val="0"/>
          <w:bCs/>
          <w:color w:val="auto"/>
          <w:sz w:val="21"/>
          <w:szCs w:val="21"/>
          <w:lang w:val="en-US" w:eastAsia="zh-CN"/>
        </w:rPr>
        <w:t>质保期内，如设备或零部件因非人为因素出现故障而造成短期停用时，则质保期相应顺延。如停用</w:t>
      </w:r>
      <w:bookmarkStart w:id="264" w:name="OLE_LINK30"/>
      <w:r>
        <w:rPr>
          <w:rFonts w:hint="eastAsia" w:ascii="宋体" w:hAnsi="宋体" w:eastAsia="宋体" w:cs="宋体"/>
          <w:b w:val="0"/>
          <w:bCs/>
          <w:color w:val="auto"/>
          <w:sz w:val="21"/>
          <w:szCs w:val="21"/>
          <w:lang w:val="en-US" w:eastAsia="zh-CN"/>
        </w:rPr>
        <w:t>时间累计超过60个日历日则质保期重新计算。</w:t>
      </w:r>
    </w:p>
    <w:bookmarkEnd w:id="263"/>
    <w:p>
      <w:pPr>
        <w:numPr>
          <w:ilvl w:val="0"/>
          <w:numId w:val="6"/>
        </w:numPr>
        <w:autoSpaceDE w:val="0"/>
        <w:autoSpaceDN w:val="0"/>
        <w:adjustRightInd w:val="0"/>
        <w:snapToGrid w:val="0"/>
        <w:spacing w:line="360" w:lineRule="auto"/>
        <w:ind w:left="874" w:leftChars="0" w:hanging="454" w:firstLineChars="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所有设备质保服务方式均为原厂工程师上门服务，由此产生的一切费用包含在</w:t>
      </w:r>
      <w:r>
        <w:rPr>
          <w:rFonts w:hint="eastAsia" w:ascii="宋体" w:hAnsi="宋体" w:cs="宋体"/>
          <w:color w:val="auto"/>
          <w:sz w:val="21"/>
          <w:szCs w:val="21"/>
          <w:lang w:val="en-US" w:eastAsia="zh-CN"/>
        </w:rPr>
        <w:t>项目报价</w:t>
      </w:r>
      <w:r>
        <w:rPr>
          <w:rFonts w:hint="eastAsia" w:ascii="宋体" w:hAnsi="宋体" w:eastAsia="宋体" w:cs="宋体"/>
          <w:b w:val="0"/>
          <w:bCs/>
          <w:color w:val="auto"/>
          <w:sz w:val="21"/>
          <w:szCs w:val="21"/>
          <w:lang w:val="en-US" w:eastAsia="zh-CN"/>
        </w:rPr>
        <w:t>之中，采购人不再向供应商支付其他任何费用。</w:t>
      </w:r>
    </w:p>
    <w:bookmarkEnd w:id="264"/>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w:t>
      </w:r>
      <w:r>
        <w:rPr>
          <w:rFonts w:hint="eastAsia" w:ascii="宋体" w:hAnsi="宋体" w:eastAsia="宋体" w:cs="宋体"/>
          <w:b/>
          <w:color w:val="auto"/>
          <w:sz w:val="21"/>
          <w:szCs w:val="21"/>
        </w:rPr>
        <w:t>安装</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调试</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培训</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bookmarkStart w:id="265" w:name="OLE_LINK20"/>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负责合同项下所有设备的安装和调式，</w:t>
      </w:r>
      <w:r>
        <w:rPr>
          <w:rFonts w:hint="eastAsia" w:ascii="宋体" w:hAnsi="宋体" w:eastAsia="宋体" w:cs="宋体"/>
          <w:b w:val="0"/>
          <w:bCs/>
          <w:color w:val="auto"/>
          <w:sz w:val="21"/>
          <w:szCs w:val="21"/>
          <w:lang w:val="en-US" w:eastAsia="zh-CN"/>
        </w:rPr>
        <w:t>保证整个安装、调试工作的质量和技术指标符合技术要求，</w:t>
      </w:r>
      <w:r>
        <w:rPr>
          <w:rFonts w:hint="eastAsia" w:ascii="宋体" w:hAnsi="宋体" w:eastAsia="宋体" w:cs="宋体"/>
          <w:color w:val="auto"/>
          <w:sz w:val="21"/>
          <w:szCs w:val="21"/>
        </w:rPr>
        <w:t>将设备调试至正常运行的最佳状态，所产生的可预见和不可预见的一切费用包含在</w:t>
      </w:r>
      <w:r>
        <w:rPr>
          <w:rFonts w:hint="eastAsia" w:ascii="宋体" w:hAnsi="宋体" w:eastAsia="宋体" w:cs="宋体"/>
          <w:color w:val="auto"/>
          <w:sz w:val="21"/>
          <w:szCs w:val="21"/>
          <w:lang w:eastAsia="zh-CN"/>
        </w:rPr>
        <w:t>项目报价</w:t>
      </w:r>
      <w:r>
        <w:rPr>
          <w:rFonts w:hint="eastAsia" w:ascii="宋体" w:hAnsi="宋体" w:eastAsia="宋体" w:cs="宋体"/>
          <w:color w:val="auto"/>
          <w:sz w:val="21"/>
          <w:szCs w:val="21"/>
        </w:rPr>
        <w:t>当中，</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不再向</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支付任何费用。</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安装时需对各安装场地内的其他设备、设施有良好保护措施，如在安装调试过程中，对装场地内的其他设备、设施有损坏行为，</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应予以</w:t>
      </w:r>
      <w:r>
        <w:rPr>
          <w:rFonts w:hint="eastAsia" w:ascii="宋体" w:hAnsi="宋体" w:eastAsia="宋体" w:cs="宋体"/>
          <w:color w:val="auto"/>
          <w:sz w:val="21"/>
          <w:szCs w:val="21"/>
          <w:lang w:val="en-US" w:eastAsia="zh-CN"/>
        </w:rPr>
        <w:t>按采购价</w:t>
      </w:r>
      <w:r>
        <w:rPr>
          <w:rFonts w:hint="eastAsia" w:ascii="宋体" w:hAnsi="宋体" w:eastAsia="宋体" w:cs="宋体"/>
          <w:color w:val="auto"/>
          <w:sz w:val="21"/>
          <w:szCs w:val="21"/>
        </w:rPr>
        <w:t>赔偿</w:t>
      </w:r>
      <w:r>
        <w:rPr>
          <w:rFonts w:hint="eastAsia" w:ascii="宋体" w:hAnsi="宋体" w:eastAsia="宋体" w:cs="宋体"/>
          <w:color w:val="auto"/>
          <w:sz w:val="21"/>
          <w:szCs w:val="21"/>
          <w:lang w:eastAsia="zh-CN"/>
        </w:rPr>
        <w:t>。</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3.供应商需对采购人的维修人员提供培训，使其能对设备进行日常的维护保养及能对一般故障进行维修，由此产生的一切费用包含在</w:t>
      </w:r>
      <w:r>
        <w:rPr>
          <w:rFonts w:hint="eastAsia" w:ascii="宋体" w:hAnsi="宋体" w:cs="宋体"/>
          <w:b w:val="0"/>
          <w:bCs/>
          <w:color w:val="auto"/>
          <w:sz w:val="21"/>
          <w:szCs w:val="21"/>
          <w:lang w:val="en-US" w:eastAsia="zh-CN"/>
        </w:rPr>
        <w:t>项目报价</w:t>
      </w:r>
      <w:r>
        <w:rPr>
          <w:rFonts w:hint="eastAsia" w:ascii="宋体" w:hAnsi="宋体" w:eastAsia="宋体" w:cs="宋体"/>
          <w:b w:val="0"/>
          <w:bCs/>
          <w:color w:val="auto"/>
          <w:sz w:val="21"/>
          <w:szCs w:val="21"/>
          <w:lang w:val="en-US" w:eastAsia="zh-CN"/>
        </w:rPr>
        <w:t xml:space="preserve">之中，采购人不再向供应商支付其他任何费用。 </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4.供应商需对采购人的操作人员进行操作培训，使其能对设备进行熟练的操作，由此产生的一切费用包含在</w:t>
      </w:r>
      <w:r>
        <w:rPr>
          <w:rFonts w:hint="eastAsia" w:ascii="宋体" w:hAnsi="宋体" w:cs="宋体"/>
          <w:b w:val="0"/>
          <w:bCs/>
          <w:color w:val="auto"/>
          <w:sz w:val="21"/>
          <w:szCs w:val="21"/>
          <w:lang w:val="en-US" w:eastAsia="zh-CN"/>
        </w:rPr>
        <w:t>项目报价</w:t>
      </w:r>
      <w:r>
        <w:rPr>
          <w:rFonts w:hint="eastAsia" w:ascii="宋体" w:hAnsi="宋体" w:eastAsia="宋体" w:cs="宋体"/>
          <w:b w:val="0"/>
          <w:bCs/>
          <w:color w:val="auto"/>
          <w:sz w:val="21"/>
          <w:szCs w:val="21"/>
          <w:lang w:val="en-US" w:eastAsia="zh-CN"/>
        </w:rPr>
        <w:t xml:space="preserve">之中，采购人不再向供应商支付其他任何费用。 </w:t>
      </w:r>
    </w:p>
    <w:bookmarkEnd w:id="265"/>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rPr>
        <w:t>验收</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lang w:val="en-US" w:eastAsia="zh-CN"/>
        </w:rPr>
        <w:t>与供应商</w:t>
      </w:r>
      <w:r>
        <w:rPr>
          <w:rFonts w:hint="eastAsia" w:ascii="宋体" w:hAnsi="宋体" w:eastAsia="宋体" w:cs="宋体"/>
          <w:color w:val="auto"/>
          <w:sz w:val="21"/>
          <w:szCs w:val="21"/>
        </w:rPr>
        <w:t>组成验收小组按国家有关规定、行业规范进行验收，必要时邀请相关的专业人员或机构参与验收。因设备质量问题发生争议时，由</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当地质量技术监督部门鉴定。设备符合质量技术标准的，鉴定费由</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承担；否则鉴定费由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.验收时如发现</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所交付的设备有短装、次品、损坏或其它不符合本合同约定之情形者，</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应作出详尽的现场记录或由甲乙双方签署备忘录，现场记录或备忘录可用作补充、缺失和更换损坏部件的有效证据，由此产生的补充、更换设备或部件等有关费用由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承担。</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.交付验收标准依次序对照适用标准为：①符合中华人民共和国国家安全质量标准、环保标准或行业标准；②符合招标文件和投标承诺中</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认可的合理最佳配置、参数及各项要求；③货物来源国官方标准。</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.货物为原厂商未启封全新包装，具有出厂合格证，序列号、包装箱号与出厂批号一致，并可追索查阅。所有随设备的附件必须齐全。 </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将货物的用户手册、保修手册、有关单证资料及备品备件、随机工具等交付给</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，使用操作及安全须知等重要资料应附有中文说明。</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.设备到货并经</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技术人员安装后，</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有权委托中国有资格的单位对上述设备进行校准或检验，设备校准或检定所需的费用由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负担。 </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.货物验收</w:t>
      </w:r>
      <w:r>
        <w:rPr>
          <w:rFonts w:hint="eastAsia" w:ascii="宋体" w:hAnsi="宋体" w:eastAsia="宋体" w:cs="宋体"/>
          <w:color w:val="auto"/>
          <w:sz w:val="21"/>
          <w:szCs w:val="21"/>
          <w:lang w:val="en-US" w:eastAsia="zh-CN"/>
        </w:rPr>
        <w:t>过程中</w:t>
      </w:r>
      <w:r>
        <w:rPr>
          <w:rFonts w:hint="eastAsia" w:ascii="宋体" w:hAnsi="宋体" w:eastAsia="宋体" w:cs="宋体"/>
          <w:color w:val="auto"/>
          <w:sz w:val="21"/>
          <w:szCs w:val="21"/>
        </w:rPr>
        <w:t>所发生的检验费用由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lang w:val="en-US" w:eastAsia="zh-CN"/>
        </w:rPr>
        <w:t>承担</w:t>
      </w:r>
      <w:r>
        <w:rPr>
          <w:rFonts w:hint="eastAsia" w:ascii="宋体" w:hAnsi="宋体" w:eastAsia="宋体" w:cs="宋体"/>
          <w:color w:val="auto"/>
          <w:sz w:val="21"/>
          <w:szCs w:val="21"/>
        </w:rPr>
        <w:t>。</w:t>
      </w:r>
    </w:p>
    <w:p>
      <w:pPr>
        <w:autoSpaceDE w:val="0"/>
        <w:autoSpaceDN w:val="0"/>
        <w:adjustRightInd w:val="0"/>
        <w:snapToGrid w:val="0"/>
        <w:spacing w:line="360" w:lineRule="auto"/>
        <w:ind w:firstLine="420" w:firstLineChars="200"/>
        <w:outlineLvl w:val="9"/>
        <w:rPr>
          <w:rFonts w:hint="eastAsia"/>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如设备属于国家计量或检定的设备，</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须提供国家计量或检定机关所出具的合格证书，</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可协助</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联系有关部门进行检测，但相关检测费用由</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 xml:space="preserve">承担。 </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422" w:firstLineChars="200"/>
        <w:textAlignment w:val="auto"/>
        <w:outlineLvl w:val="9"/>
        <w:rPr>
          <w:rFonts w:hint="eastAsia" w:ascii="宋体" w:hAnsi="宋体" w:cs="宋体"/>
          <w:b/>
          <w:bCs/>
          <w:color w:val="auto"/>
          <w:szCs w:val="21"/>
          <w:highlight w:val="none"/>
          <w:lang w:val="en-US" w:eastAsia="zh-CN"/>
        </w:rPr>
      </w:pPr>
      <w:bookmarkStart w:id="266" w:name="OLE_LINK22"/>
      <w:r>
        <w:rPr>
          <w:rFonts w:hint="eastAsia" w:ascii="宋体" w:hAnsi="宋体" w:cs="宋体"/>
          <w:b/>
          <w:bCs/>
          <w:color w:val="auto"/>
          <w:szCs w:val="21"/>
          <w:highlight w:val="none"/>
          <w:lang w:val="en-US" w:eastAsia="zh-CN"/>
        </w:rPr>
        <w:t>（四）</w:t>
      </w:r>
      <w:bookmarkStart w:id="267" w:name="OLE_LINK48"/>
      <w:r>
        <w:rPr>
          <w:rFonts w:hint="eastAsia" w:ascii="宋体" w:hAnsi="宋体" w:cs="宋体"/>
          <w:b/>
          <w:bCs/>
          <w:color w:val="auto"/>
          <w:szCs w:val="21"/>
          <w:highlight w:val="none"/>
          <w:lang w:val="en-US" w:eastAsia="zh-CN"/>
        </w:rPr>
        <w:t>付款方式</w:t>
      </w:r>
      <w:bookmarkEnd w:id="267"/>
    </w:p>
    <w:p>
      <w:pPr>
        <w:pStyle w:val="60"/>
        <w:spacing w:line="360" w:lineRule="auto"/>
        <w:ind w:firstLine="420" w:firstLineChars="200"/>
        <w:outlineLvl w:val="9"/>
        <w:rPr>
          <w:rFonts w:hint="eastAsia" w:ascii="宋体" w:hAnsi="宋体" w:cs="宋体"/>
          <w:bCs w:val="0"/>
          <w:color w:val="auto"/>
          <w:spacing w:val="0"/>
          <w:sz w:val="21"/>
          <w:szCs w:val="21"/>
          <w:highlight w:val="none"/>
        </w:rPr>
      </w:pPr>
      <w:bookmarkStart w:id="268" w:name="OLE_LINK31"/>
      <w:r>
        <w:rPr>
          <w:rFonts w:hint="eastAsia" w:ascii="宋体" w:hAnsi="宋体" w:cs="宋体"/>
          <w:bCs w:val="0"/>
          <w:color w:val="auto"/>
          <w:spacing w:val="0"/>
          <w:sz w:val="21"/>
          <w:szCs w:val="21"/>
          <w:highlight w:val="none"/>
        </w:rPr>
        <w:t>由采购人按下列程序付款：</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1.验收合格之日起60天内，支付成交总价的100%。</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2.成交人凭以下有效文件与采购人结算：</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（1）采购合同；</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w:t>
      </w:r>
      <w:r>
        <w:rPr>
          <w:rFonts w:hint="eastAsia" w:ascii="宋体" w:hAnsi="宋体" w:cs="宋体"/>
          <w:bCs w:val="0"/>
          <w:color w:val="auto"/>
          <w:spacing w:val="0"/>
          <w:sz w:val="21"/>
          <w:szCs w:val="21"/>
          <w:highlight w:val="none"/>
          <w:lang w:val="en-US" w:eastAsia="zh-CN"/>
        </w:rPr>
        <w:t>有效</w:t>
      </w:r>
      <w:r>
        <w:rPr>
          <w:rFonts w:hint="eastAsia" w:ascii="宋体" w:hAnsi="宋体" w:cs="宋体"/>
          <w:bCs w:val="0"/>
          <w:color w:val="auto"/>
          <w:spacing w:val="0"/>
          <w:sz w:val="21"/>
          <w:szCs w:val="21"/>
          <w:highlight w:val="none"/>
        </w:rPr>
        <w:t>发票；</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（3）验收报告；</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（4）成交通知书。</w:t>
      </w:r>
    </w:p>
    <w:bookmarkEnd w:id="239"/>
    <w:bookmarkEnd w:id="240"/>
    <w:bookmarkEnd w:id="241"/>
    <w:bookmarkEnd w:id="242"/>
    <w:bookmarkEnd w:id="243"/>
    <w:bookmarkEnd w:id="244"/>
    <w:bookmarkEnd w:id="245"/>
    <w:bookmarkEnd w:id="246"/>
    <w:bookmarkEnd w:id="247"/>
    <w:bookmarkEnd w:id="266"/>
    <w:bookmarkEnd w:id="268"/>
    <w:p>
      <w:pPr>
        <w:bidi w:val="0"/>
        <w:jc w:val="center"/>
        <w:rPr>
          <w:rFonts w:ascii="宋体" w:hAnsi="宋体" w:cs="宋体"/>
          <w:color w:val="auto"/>
          <w:sz w:val="32"/>
          <w:szCs w:val="32"/>
          <w:highlight w:val="none"/>
        </w:rPr>
      </w:pPr>
      <w:bookmarkStart w:id="269" w:name="_Toc101843125"/>
      <w:bookmarkStart w:id="270" w:name="_Toc101775125"/>
      <w:bookmarkStart w:id="271" w:name="_Toc175644394"/>
      <w:bookmarkStart w:id="272" w:name="_Toc101771372"/>
      <w:bookmarkStart w:id="273" w:name="_Toc2094493"/>
      <w:bookmarkStart w:id="274" w:name="_Toc101951263"/>
      <w:bookmarkStart w:id="275" w:name="_Toc2093354"/>
      <w:bookmarkStart w:id="276" w:name="_Toc42394673"/>
      <w:bookmarkStart w:id="277" w:name="_Toc98579069"/>
      <w:bookmarkStart w:id="278" w:name="_Toc42313172"/>
      <w:bookmarkStart w:id="279" w:name="_Toc41884706"/>
      <w:bookmarkStart w:id="280" w:name="_Toc50276165"/>
      <w:bookmarkStart w:id="281" w:name="_Toc46308531"/>
      <w:bookmarkStart w:id="282" w:name="_Toc42394517"/>
      <w:bookmarkStart w:id="283" w:name="_Toc41723936"/>
      <w:bookmarkStart w:id="284" w:name="_Toc98580293"/>
      <w:bookmarkStart w:id="285" w:name="_Toc46308687"/>
      <w:bookmarkStart w:id="286" w:name="_Toc98579610"/>
      <w:bookmarkStart w:id="287" w:name="_Toc98035089"/>
      <w:bookmarkStart w:id="288" w:name="_Toc98579011"/>
      <w:bookmarkStart w:id="289" w:name="_Toc50276204"/>
      <w:r>
        <w:rPr>
          <w:rFonts w:hint="eastAsia" w:ascii="宋体" w:hAnsi="宋体" w:cs="宋体"/>
          <w:color w:val="auto"/>
          <w:sz w:val="32"/>
          <w:szCs w:val="32"/>
          <w:highlight w:val="none"/>
        </w:rPr>
        <w:br w:type="page"/>
      </w:r>
      <w:bookmarkStart w:id="290" w:name="_Toc14640"/>
      <w:bookmarkStart w:id="291" w:name="_Toc20696"/>
      <w:bookmarkStart w:id="292" w:name="_Toc1440"/>
      <w:bookmarkStart w:id="293" w:name="_Toc1913_WPSOffice_Level1"/>
      <w:bookmarkStart w:id="294" w:name="_Toc23967"/>
      <w:bookmarkStart w:id="295" w:name="_Toc30970"/>
      <w:r>
        <w:rPr>
          <w:rFonts w:hint="eastAsia" w:ascii="宋体" w:hAnsi="宋体" w:eastAsia="宋体" w:cs="宋体"/>
          <w:b/>
          <w:color w:val="auto"/>
          <w:kern w:val="44"/>
          <w:sz w:val="30"/>
          <w:szCs w:val="30"/>
          <w:highlight w:val="none"/>
          <w:lang w:val="en-US" w:eastAsia="zh-CN" w:bidi="ar-SA"/>
        </w:rPr>
        <w:t>第三章 合同格式</w:t>
      </w:r>
      <w:bookmarkEnd w:id="269"/>
      <w:bookmarkEnd w:id="270"/>
      <w:bookmarkEnd w:id="271"/>
      <w:bookmarkEnd w:id="272"/>
      <w:bookmarkEnd w:id="273"/>
      <w:bookmarkEnd w:id="274"/>
      <w:bookmarkEnd w:id="275"/>
      <w:bookmarkEnd w:id="290"/>
      <w:bookmarkEnd w:id="291"/>
      <w:bookmarkEnd w:id="292"/>
      <w:bookmarkEnd w:id="293"/>
      <w:bookmarkEnd w:id="294"/>
      <w:bookmarkEnd w:id="295"/>
    </w:p>
    <w:p>
      <w:pPr>
        <w:rPr>
          <w:rFonts w:ascii="宋体" w:hAnsi="宋体" w:cs="宋体"/>
          <w:color w:val="auto"/>
          <w:sz w:val="24"/>
          <w:highlight w:val="none"/>
        </w:rPr>
      </w:pPr>
    </w:p>
    <w:p>
      <w:pPr>
        <w:jc w:val="left"/>
        <w:outlineLvl w:val="9"/>
        <w:rPr>
          <w:rFonts w:asciiTheme="minorEastAsia" w:hAnsiTheme="minorEastAsia" w:eastAsiaTheme="minorEastAsia" w:cstheme="minorEastAsia"/>
          <w:color w:val="auto"/>
          <w:sz w:val="44"/>
          <w:szCs w:val="13"/>
          <w:highlight w:val="none"/>
        </w:rPr>
      </w:pPr>
      <w:r>
        <w:rPr>
          <w:rFonts w:hint="eastAsia" w:ascii="黑体" w:hAnsi="黑体" w:eastAsia="黑体" w:cs="黑体"/>
          <w:b/>
          <w:bCs/>
          <w:color w:val="auto"/>
          <w:sz w:val="24"/>
          <w:szCs w:val="24"/>
          <w:highlight w:val="none"/>
        </w:rPr>
        <w:t>注：本合同</w:t>
      </w:r>
      <w:r>
        <w:rPr>
          <w:rFonts w:hint="eastAsia" w:ascii="黑体" w:hAnsi="黑体" w:eastAsia="黑体" w:cs="黑体"/>
          <w:b/>
          <w:bCs/>
          <w:color w:val="auto"/>
          <w:sz w:val="24"/>
          <w:szCs w:val="24"/>
          <w:highlight w:val="none"/>
          <w:lang w:val="en-US" w:eastAsia="zh-CN"/>
        </w:rPr>
        <w:t>模板</w:t>
      </w:r>
      <w:r>
        <w:rPr>
          <w:rFonts w:hint="eastAsia" w:ascii="黑体" w:hAnsi="黑体" w:eastAsia="黑体" w:cs="黑体"/>
          <w:b/>
          <w:bCs/>
          <w:color w:val="auto"/>
          <w:sz w:val="24"/>
          <w:szCs w:val="24"/>
          <w:highlight w:val="none"/>
        </w:rPr>
        <w:t>仅为参考文本，合同签订双方可根据项目的具体要求进行修订，但不得偏离实质性条款。</w:t>
      </w:r>
    </w:p>
    <w:p>
      <w:pPr>
        <w:jc w:val="left"/>
        <w:outlineLvl w:val="9"/>
        <w:rPr>
          <w:rFonts w:asciiTheme="minorEastAsia" w:hAnsiTheme="minorEastAsia" w:eastAsiaTheme="minorEastAsia" w:cstheme="minorEastAsia"/>
          <w:color w:val="auto"/>
          <w:sz w:val="72"/>
          <w:highlight w:val="none"/>
        </w:rPr>
      </w:pPr>
    </w:p>
    <w:p>
      <w:pPr>
        <w:adjustRightInd w:val="0"/>
        <w:snapToGrid w:val="0"/>
        <w:spacing w:line="360" w:lineRule="auto"/>
        <w:jc w:val="center"/>
        <w:outlineLvl w:val="9"/>
        <w:rPr>
          <w:rFonts w:ascii="华文新魏" w:eastAsia="华文新魏"/>
          <w:b/>
          <w:color w:val="auto"/>
          <w:spacing w:val="200"/>
          <w:sz w:val="72"/>
          <w:szCs w:val="72"/>
        </w:rPr>
      </w:pPr>
    </w:p>
    <w:p>
      <w:pPr>
        <w:adjustRightInd w:val="0"/>
        <w:snapToGrid w:val="0"/>
        <w:spacing w:line="360" w:lineRule="auto"/>
        <w:outlineLvl w:val="9"/>
        <w:rPr>
          <w:rFonts w:ascii="宋体"/>
          <w:b/>
          <w:color w:val="auto"/>
          <w:sz w:val="28"/>
        </w:rPr>
      </w:pPr>
    </w:p>
    <w:p>
      <w:pPr>
        <w:adjustRightInd w:val="0"/>
        <w:snapToGrid w:val="0"/>
        <w:spacing w:line="360" w:lineRule="auto"/>
        <w:jc w:val="center"/>
        <w:outlineLvl w:val="9"/>
        <w:rPr>
          <w:rFonts w:ascii="华文新魏" w:eastAsia="华文新魏"/>
          <w:b/>
          <w:color w:val="auto"/>
          <w:spacing w:val="200"/>
          <w:sz w:val="72"/>
          <w:szCs w:val="72"/>
        </w:rPr>
      </w:pPr>
      <w:r>
        <w:rPr>
          <w:rFonts w:hint="eastAsia" w:ascii="华文新魏" w:eastAsia="华文新魏"/>
          <w:b/>
          <w:color w:val="auto"/>
          <w:spacing w:val="200"/>
          <w:sz w:val="72"/>
          <w:szCs w:val="72"/>
        </w:rPr>
        <w:t>采购合同</w:t>
      </w:r>
    </w:p>
    <w:p>
      <w:pPr>
        <w:outlineLvl w:val="9"/>
        <w:rPr>
          <w:color w:val="auto"/>
        </w:rPr>
      </w:pPr>
    </w:p>
    <w:p>
      <w:pPr>
        <w:jc w:val="center"/>
        <w:outlineLvl w:val="9"/>
        <w:rPr>
          <w:rFonts w:ascii="黑体" w:hAnsi="宋体" w:eastAsia="黑体"/>
          <w:b/>
          <w:color w:val="auto"/>
          <w:sz w:val="44"/>
          <w:szCs w:val="44"/>
        </w:rPr>
      </w:pPr>
    </w:p>
    <w:p>
      <w:pPr>
        <w:adjustRightInd w:val="0"/>
        <w:snapToGrid w:val="0"/>
        <w:spacing w:line="360" w:lineRule="auto"/>
        <w:outlineLvl w:val="9"/>
        <w:rPr>
          <w:rFonts w:ascii="宋体"/>
          <w:b/>
          <w:color w:val="auto"/>
          <w:sz w:val="28"/>
        </w:rPr>
      </w:pPr>
    </w:p>
    <w:p>
      <w:pPr>
        <w:adjustRightInd w:val="0"/>
        <w:snapToGrid w:val="0"/>
        <w:spacing w:line="360" w:lineRule="auto"/>
        <w:ind w:left="1602" w:hanging="1602" w:hangingChars="500"/>
        <w:outlineLvl w:val="9"/>
        <w:rPr>
          <w:rFonts w:hint="eastAsia" w:ascii="华文新魏" w:eastAsia="华文新魏"/>
          <w:b/>
          <w:color w:val="auto"/>
          <w:sz w:val="32"/>
          <w:szCs w:val="32"/>
          <w:u w:val="single"/>
          <w:lang w:val="en-US" w:eastAsia="zh-CN"/>
        </w:rPr>
      </w:pPr>
      <w:r>
        <w:rPr>
          <w:rFonts w:hint="eastAsia" w:ascii="华文新魏" w:eastAsia="华文新魏"/>
          <w:b/>
          <w:color w:val="auto"/>
          <w:sz w:val="32"/>
          <w:szCs w:val="32"/>
        </w:rPr>
        <w:t>项目名称：</w:t>
      </w:r>
      <w:r>
        <w:rPr>
          <w:rFonts w:hint="eastAsia" w:ascii="华文新魏" w:eastAsia="华文新魏"/>
          <w:b/>
          <w:color w:val="auto"/>
          <w:sz w:val="32"/>
          <w:szCs w:val="32"/>
          <w:u w:val="single"/>
          <w:lang w:val="en-US" w:eastAsia="zh-CN"/>
        </w:rPr>
        <w:t xml:space="preserve">                                              </w:t>
      </w:r>
    </w:p>
    <w:p>
      <w:pPr>
        <w:adjustRightInd w:val="0"/>
        <w:snapToGrid w:val="0"/>
        <w:spacing w:line="360" w:lineRule="auto"/>
        <w:outlineLvl w:val="9"/>
        <w:rPr>
          <w:rFonts w:ascii="华文新魏" w:eastAsia="华文新魏"/>
          <w:b/>
          <w:color w:val="auto"/>
          <w:sz w:val="32"/>
          <w:szCs w:val="32"/>
          <w:u w:val="single"/>
        </w:rPr>
      </w:pPr>
      <w:r>
        <w:rPr>
          <w:rFonts w:hint="eastAsia" w:ascii="华文新魏" w:eastAsia="华文新魏"/>
          <w:b/>
          <w:color w:val="auto"/>
          <w:sz w:val="32"/>
          <w:szCs w:val="32"/>
        </w:rPr>
        <w:t>合同编号：</w:t>
      </w:r>
      <w:r>
        <w:rPr>
          <w:rFonts w:hint="eastAsia" w:ascii="华文新魏" w:eastAsia="华文新魏"/>
          <w:b/>
          <w:color w:val="auto"/>
          <w:sz w:val="32"/>
          <w:szCs w:val="32"/>
          <w:u w:val="single"/>
        </w:rPr>
        <w:t xml:space="preserve">                                              </w:t>
      </w:r>
    </w:p>
    <w:p>
      <w:pPr>
        <w:adjustRightInd w:val="0"/>
        <w:snapToGrid w:val="0"/>
        <w:spacing w:line="360" w:lineRule="auto"/>
        <w:outlineLvl w:val="9"/>
        <w:rPr>
          <w:rFonts w:ascii="华文新魏" w:eastAsia="华文新魏"/>
          <w:b/>
          <w:color w:val="auto"/>
          <w:sz w:val="32"/>
          <w:szCs w:val="32"/>
        </w:rPr>
      </w:pPr>
      <w:r>
        <w:rPr>
          <w:rFonts w:hint="eastAsia" w:ascii="华文新魏" w:eastAsia="华文新魏"/>
          <w:b/>
          <w:color w:val="auto"/>
          <w:sz w:val="32"/>
          <w:szCs w:val="32"/>
        </w:rPr>
        <w:t>签约地点：</w:t>
      </w:r>
      <w:r>
        <w:rPr>
          <w:rFonts w:hint="eastAsia" w:ascii="华文新魏" w:eastAsia="华文新魏"/>
          <w:b/>
          <w:color w:val="auto"/>
          <w:sz w:val="32"/>
          <w:szCs w:val="32"/>
          <w:u w:val="single"/>
          <w:lang w:val="en-US" w:eastAsia="zh-CN"/>
        </w:rPr>
        <w:t xml:space="preserve">                    </w:t>
      </w:r>
      <w:r>
        <w:rPr>
          <w:rFonts w:hint="eastAsia" w:ascii="华文新魏" w:eastAsia="华文新魏"/>
          <w:b/>
          <w:color w:val="auto"/>
          <w:sz w:val="32"/>
          <w:szCs w:val="32"/>
          <w:u w:val="single"/>
        </w:rPr>
        <w:t xml:space="preserve">                          </w:t>
      </w:r>
    </w:p>
    <w:p>
      <w:pPr>
        <w:widowControl/>
        <w:jc w:val="left"/>
        <w:outlineLvl w:val="9"/>
        <w:rPr>
          <w:rFonts w:ascii="华文新魏" w:eastAsia="华文新魏"/>
          <w:b/>
          <w:color w:val="auto"/>
          <w:sz w:val="32"/>
          <w:szCs w:val="32"/>
        </w:rPr>
      </w:pPr>
      <w:r>
        <w:rPr>
          <w:rFonts w:hint="eastAsia" w:ascii="华文新魏" w:eastAsia="华文新魏"/>
          <w:b/>
          <w:color w:val="auto"/>
          <w:sz w:val="32"/>
          <w:szCs w:val="32"/>
        </w:rPr>
        <w:t>签订日期：</w:t>
      </w:r>
      <w:r>
        <w:rPr>
          <w:rFonts w:hint="eastAsia" w:ascii="华文新魏" w:eastAsia="华文新魏"/>
          <w:b/>
          <w:color w:val="auto"/>
          <w:sz w:val="32"/>
          <w:szCs w:val="32"/>
          <w:lang w:val="en-US" w:eastAsia="zh-CN"/>
        </w:rPr>
        <w:t xml:space="preserve">    </w:t>
      </w:r>
      <w:r>
        <w:rPr>
          <w:rFonts w:hint="eastAsia" w:ascii="华文新魏" w:eastAsia="华文新魏"/>
          <w:b/>
          <w:color w:val="auto"/>
          <w:sz w:val="32"/>
          <w:szCs w:val="32"/>
        </w:rPr>
        <w:t>年   月    日</w:t>
      </w:r>
    </w:p>
    <w:p>
      <w:pPr>
        <w:widowControl/>
        <w:jc w:val="left"/>
        <w:outlineLvl w:val="9"/>
        <w:rPr>
          <w:rFonts w:ascii="华文新魏" w:eastAsia="华文新魏"/>
          <w:b/>
          <w:color w:val="auto"/>
          <w:sz w:val="28"/>
          <w:szCs w:val="28"/>
        </w:rPr>
      </w:pPr>
    </w:p>
    <w:p>
      <w:pPr>
        <w:widowControl/>
        <w:jc w:val="left"/>
        <w:outlineLvl w:val="9"/>
        <w:rPr>
          <w:rFonts w:ascii="华文新魏" w:eastAsia="华文新魏"/>
          <w:b/>
          <w:color w:val="auto"/>
          <w:sz w:val="28"/>
          <w:szCs w:val="28"/>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pStyle w:val="59"/>
        <w:outlineLvl w:val="9"/>
        <w:rPr>
          <w:rFonts w:ascii="华文新魏" w:eastAsia="华文新魏"/>
          <w:b/>
          <w:color w:val="auto"/>
          <w:sz w:val="32"/>
          <w:szCs w:val="32"/>
        </w:rPr>
      </w:pPr>
    </w:p>
    <w:p>
      <w:pPr>
        <w:widowControl/>
        <w:spacing w:line="360" w:lineRule="auto"/>
        <w:jc w:val="left"/>
        <w:outlineLvl w:val="9"/>
        <w:rPr>
          <w:rFonts w:ascii="宋体" w:hAnsi="宋体" w:cs="宋体"/>
          <w:color w:val="auto"/>
          <w:sz w:val="21"/>
          <w:szCs w:val="21"/>
        </w:rPr>
      </w:pPr>
      <w:r>
        <w:rPr>
          <w:rFonts w:hint="eastAsia" w:ascii="宋体" w:hAnsi="宋体" w:cs="宋体"/>
          <w:color w:val="auto"/>
          <w:sz w:val="21"/>
          <w:szCs w:val="21"/>
        </w:rPr>
        <w:t>甲    方（</w:t>
      </w:r>
      <w:r>
        <w:rPr>
          <w:rFonts w:hint="eastAsia" w:ascii="宋体" w:hAnsi="宋体" w:cs="宋体"/>
          <w:color w:val="auto"/>
          <w:sz w:val="21"/>
          <w:szCs w:val="21"/>
          <w:lang w:eastAsia="zh-CN"/>
        </w:rPr>
        <w:t>甲方</w:t>
      </w:r>
      <w:r>
        <w:rPr>
          <w:rFonts w:hint="eastAsia" w:ascii="宋体" w:hAnsi="宋体" w:cs="宋体"/>
          <w:color w:val="auto"/>
          <w:sz w:val="21"/>
          <w:szCs w:val="21"/>
        </w:rPr>
        <w:t xml:space="preserve">）：                 </w:t>
      </w:r>
    </w:p>
    <w:p>
      <w:pPr>
        <w:spacing w:line="360" w:lineRule="auto"/>
        <w:outlineLvl w:val="9"/>
        <w:rPr>
          <w:rFonts w:ascii="宋体" w:hAnsi="宋体" w:cs="宋体"/>
          <w:color w:val="auto"/>
          <w:sz w:val="21"/>
          <w:szCs w:val="21"/>
        </w:rPr>
      </w:pPr>
      <w:r>
        <w:rPr>
          <w:rFonts w:hint="eastAsia" w:ascii="宋体" w:hAnsi="宋体" w:cs="宋体"/>
          <w:color w:val="auto"/>
          <w:sz w:val="21"/>
          <w:szCs w:val="21"/>
        </w:rPr>
        <w:t>联 系 人：</w:t>
      </w:r>
    </w:p>
    <w:p>
      <w:pPr>
        <w:spacing w:line="360" w:lineRule="auto"/>
        <w:outlineLvl w:val="9"/>
        <w:rPr>
          <w:rFonts w:ascii="宋体" w:hAnsi="宋体" w:cs="宋体"/>
          <w:color w:val="auto"/>
          <w:sz w:val="21"/>
          <w:szCs w:val="21"/>
        </w:rPr>
      </w:pPr>
      <w:r>
        <w:rPr>
          <w:rFonts w:hint="eastAsia" w:ascii="宋体" w:hAnsi="宋体" w:cs="宋体"/>
          <w:color w:val="auto"/>
          <w:sz w:val="21"/>
          <w:szCs w:val="21"/>
        </w:rPr>
        <w:t xml:space="preserve">电    话：   </w:t>
      </w:r>
    </w:p>
    <w:p>
      <w:pPr>
        <w:spacing w:line="360" w:lineRule="auto"/>
        <w:outlineLvl w:val="9"/>
        <w:rPr>
          <w:rFonts w:ascii="宋体" w:hAnsi="宋体" w:cs="宋体"/>
          <w:color w:val="auto"/>
          <w:sz w:val="21"/>
          <w:szCs w:val="21"/>
        </w:rPr>
      </w:pPr>
      <w:r>
        <w:rPr>
          <w:rFonts w:hint="eastAsia" w:ascii="宋体" w:hAnsi="宋体" w:cs="宋体"/>
          <w:color w:val="auto"/>
          <w:sz w:val="21"/>
          <w:szCs w:val="21"/>
        </w:rPr>
        <w:t>地    址：</w:t>
      </w:r>
    </w:p>
    <w:p>
      <w:pPr>
        <w:spacing w:line="360" w:lineRule="auto"/>
        <w:jc w:val="left"/>
        <w:outlineLvl w:val="9"/>
        <w:rPr>
          <w:rFonts w:ascii="宋体" w:hAnsi="宋体" w:cs="宋体"/>
          <w:color w:val="auto"/>
          <w:sz w:val="21"/>
          <w:szCs w:val="21"/>
        </w:rPr>
      </w:pPr>
    </w:p>
    <w:p>
      <w:pPr>
        <w:spacing w:line="360" w:lineRule="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rPr>
        <w:t>乙    方（成交人）：</w:t>
      </w:r>
    </w:p>
    <w:p>
      <w:pPr>
        <w:spacing w:line="360" w:lineRule="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rPr>
        <w:t>联 系 人：</w:t>
      </w:r>
    </w:p>
    <w:p>
      <w:pPr>
        <w:spacing w:line="360" w:lineRule="auto"/>
        <w:outlineLvl w:val="9"/>
        <w:rPr>
          <w:rFonts w:hint="default" w:ascii="宋体" w:hAnsi="宋体" w:cs="宋体"/>
          <w:color w:val="auto"/>
          <w:sz w:val="21"/>
          <w:szCs w:val="21"/>
          <w:lang w:val="en-US"/>
        </w:rPr>
      </w:pPr>
      <w:r>
        <w:rPr>
          <w:rFonts w:hint="eastAsia" w:ascii="宋体" w:hAnsi="宋体" w:cs="宋体"/>
          <w:color w:val="auto"/>
          <w:sz w:val="21"/>
          <w:szCs w:val="21"/>
        </w:rPr>
        <w:t>电    话：</w:t>
      </w:r>
    </w:p>
    <w:p>
      <w:pPr>
        <w:spacing w:line="360" w:lineRule="auto"/>
        <w:jc w:val="left"/>
        <w:outlineLvl w:val="9"/>
        <w:rPr>
          <w:rFonts w:ascii="宋体" w:hAnsi="宋体" w:cs="宋体"/>
          <w:bCs/>
          <w:color w:val="auto"/>
          <w:sz w:val="21"/>
          <w:szCs w:val="21"/>
        </w:rPr>
      </w:pPr>
      <w:r>
        <w:rPr>
          <w:rFonts w:hint="eastAsia" w:ascii="宋体" w:hAnsi="宋体" w:cs="宋体"/>
          <w:color w:val="auto"/>
          <w:sz w:val="21"/>
          <w:szCs w:val="21"/>
        </w:rPr>
        <w:t>地    址：</w:t>
      </w:r>
    </w:p>
    <w:p>
      <w:pPr>
        <w:tabs>
          <w:tab w:val="left" w:pos="720"/>
        </w:tabs>
        <w:spacing w:line="360" w:lineRule="auto"/>
        <w:outlineLvl w:val="9"/>
        <w:rPr>
          <w:rFonts w:ascii="宋体" w:hAnsi="宋体" w:cs="宋体"/>
          <w:color w:val="auto"/>
          <w:sz w:val="21"/>
          <w:szCs w:val="21"/>
        </w:rPr>
      </w:pPr>
      <w:r>
        <w:rPr>
          <w:rFonts w:hint="eastAsia" w:ascii="宋体" w:hAnsi="宋体" w:cs="宋体"/>
          <w:color w:val="auto"/>
          <w:sz w:val="21"/>
          <w:szCs w:val="21"/>
        </w:rPr>
        <w:t xml:space="preserve">           </w:t>
      </w:r>
    </w:p>
    <w:p>
      <w:pPr>
        <w:spacing w:line="360" w:lineRule="auto"/>
        <w:ind w:firstLine="500"/>
        <w:outlineLvl w:val="9"/>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根据</w:t>
      </w:r>
      <w:r>
        <w:rPr>
          <w:rFonts w:hint="eastAsia" w:ascii="宋体" w:hAnsi="宋体" w:eastAsia="宋体" w:cs="宋体"/>
          <w:bCs/>
          <w:color w:val="auto"/>
          <w:sz w:val="21"/>
          <w:szCs w:val="21"/>
          <w:u w:val="single"/>
        </w:rPr>
        <w:t xml:space="preserve"> </w:t>
      </w:r>
      <w:r>
        <w:rPr>
          <w:rFonts w:hint="eastAsia" w:ascii="宋体" w:hAnsi="宋体" w:cs="宋体"/>
          <w:bCs/>
          <w:color w:val="auto"/>
          <w:sz w:val="21"/>
          <w:szCs w:val="21"/>
          <w:u w:val="single"/>
          <w:lang w:val="en-US" w:eastAsia="zh-CN"/>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rPr>
        <w:t>的采购结果，按照</w:t>
      </w:r>
      <w:r>
        <w:rPr>
          <w:rFonts w:hint="eastAsia" w:ascii="宋体" w:hAnsi="宋体" w:eastAsia="宋体" w:cs="宋体"/>
          <w:color w:val="auto"/>
          <w:sz w:val="21"/>
          <w:szCs w:val="21"/>
        </w:rPr>
        <w:t>《中华人民共和国民法典》中关于“合同”部分</w:t>
      </w:r>
      <w:r>
        <w:rPr>
          <w:rFonts w:hint="eastAsia" w:ascii="宋体" w:hAnsi="宋体" w:eastAsia="宋体" w:cs="宋体"/>
          <w:bCs/>
          <w:color w:val="auto"/>
          <w:sz w:val="21"/>
          <w:szCs w:val="21"/>
        </w:rPr>
        <w:t>的规定，在平等互利、协商一致的基础上，甲方同意向乙方购买，同时乙方同意向甲方销售以下设备，一致同意签订本合同如下。</w:t>
      </w:r>
    </w:p>
    <w:p>
      <w:pPr>
        <w:tabs>
          <w:tab w:val="left" w:pos="426"/>
        </w:tabs>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一、采购标的</w:t>
      </w:r>
    </w:p>
    <w:tbl>
      <w:tblPr>
        <w:tblStyle w:val="48"/>
        <w:tblW w:w="498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2"/>
        <w:gridCol w:w="1331"/>
        <w:gridCol w:w="1612"/>
        <w:gridCol w:w="729"/>
        <w:gridCol w:w="1307"/>
        <w:gridCol w:w="664"/>
        <w:gridCol w:w="528"/>
        <w:gridCol w:w="473"/>
        <w:gridCol w:w="1265"/>
        <w:gridCol w:w="1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序号</w:t>
            </w:r>
          </w:p>
        </w:tc>
        <w:tc>
          <w:tcPr>
            <w:tcW w:w="69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设备名称</w:t>
            </w:r>
          </w:p>
        </w:tc>
        <w:tc>
          <w:tcPr>
            <w:tcW w:w="83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注册证名称</w:t>
            </w:r>
          </w:p>
        </w:tc>
        <w:tc>
          <w:tcPr>
            <w:tcW w:w="37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品牌</w:t>
            </w:r>
          </w:p>
        </w:tc>
        <w:tc>
          <w:tcPr>
            <w:tcW w:w="68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规格型号</w:t>
            </w:r>
          </w:p>
        </w:tc>
        <w:tc>
          <w:tcPr>
            <w:tcW w:w="34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产地</w:t>
            </w: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单位</w:t>
            </w:r>
          </w:p>
        </w:tc>
        <w:tc>
          <w:tcPr>
            <w:tcW w:w="24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数量</w:t>
            </w:r>
          </w:p>
        </w:tc>
        <w:tc>
          <w:tcPr>
            <w:tcW w:w="65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单价(元)</w:t>
            </w:r>
          </w:p>
        </w:tc>
        <w:tc>
          <w:tcPr>
            <w:tcW w:w="642" w:type="pct"/>
            <w:tcBorders>
              <w:top w:val="single" w:color="auto" w:sz="4" w:space="0"/>
              <w:left w:val="single" w:color="auto" w:sz="4" w:space="0"/>
              <w:bottom w:val="single" w:color="auto" w:sz="4" w:space="0"/>
              <w:right w:val="single" w:color="auto" w:sz="4" w:space="0"/>
            </w:tcBorders>
            <w:vAlign w:val="center"/>
          </w:tcPr>
          <w:p>
            <w:pPr>
              <w:spacing w:line="240" w:lineRule="auto"/>
              <w:ind w:left="-76" w:leftChars="-36" w:right="-115" w:rightChars="-55"/>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金额(元)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24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u w:val="none"/>
                <w:lang w:val="en-US" w:eastAsia="zh-CN"/>
              </w:rPr>
              <w:t>1</w:t>
            </w:r>
          </w:p>
        </w:tc>
        <w:tc>
          <w:tcPr>
            <w:tcW w:w="692" w:type="pct"/>
            <w:tcBorders>
              <w:top w:val="single" w:color="auto" w:sz="4" w:space="0"/>
              <w:left w:val="single" w:color="auto" w:sz="4" w:space="0"/>
              <w:bottom w:val="single" w:color="auto" w:sz="4" w:space="0"/>
              <w:right w:val="single" w:color="auto" w:sz="4" w:space="0"/>
            </w:tcBorders>
            <w:vAlign w:val="center"/>
          </w:tcPr>
          <w:p>
            <w:pPr>
              <w:pStyle w:val="217"/>
              <w:spacing w:line="240" w:lineRule="auto"/>
              <w:jc w:val="center"/>
              <w:outlineLvl w:val="9"/>
              <w:rPr>
                <w:rFonts w:hint="eastAsia" w:ascii="宋体" w:hAnsi="宋体" w:eastAsia="宋体" w:cs="宋体"/>
                <w:color w:val="auto"/>
                <w:sz w:val="21"/>
                <w:szCs w:val="21"/>
                <w:u w:val="none"/>
              </w:rPr>
            </w:pPr>
          </w:p>
        </w:tc>
        <w:tc>
          <w:tcPr>
            <w:tcW w:w="839" w:type="pct"/>
            <w:tcBorders>
              <w:top w:val="single" w:color="auto" w:sz="4" w:space="0"/>
              <w:left w:val="single" w:color="auto" w:sz="4" w:space="0"/>
              <w:bottom w:val="single" w:color="auto" w:sz="4" w:space="0"/>
              <w:right w:val="single" w:color="auto" w:sz="4" w:space="0"/>
            </w:tcBorders>
            <w:vAlign w:val="center"/>
          </w:tcPr>
          <w:p>
            <w:pPr>
              <w:bidi w:val="0"/>
              <w:spacing w:line="240" w:lineRule="auto"/>
              <w:jc w:val="center"/>
              <w:outlineLvl w:val="9"/>
              <w:rPr>
                <w:rFonts w:hint="eastAsia" w:ascii="宋体" w:hAnsi="宋体" w:eastAsia="宋体" w:cs="宋体"/>
                <w:color w:val="auto"/>
                <w:kern w:val="0"/>
                <w:sz w:val="21"/>
                <w:szCs w:val="21"/>
                <w:lang w:val="en-US" w:eastAsia="zh-CN"/>
              </w:rPr>
            </w:pPr>
          </w:p>
        </w:tc>
        <w:tc>
          <w:tcPr>
            <w:tcW w:w="379"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680"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34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27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246"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65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c>
          <w:tcPr>
            <w:tcW w:w="642" w:type="pct"/>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宋体" w:hAnsi="宋体" w:eastAsia="宋体" w:cs="宋体"/>
                <w:color w:val="auto"/>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1"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spacing w:line="240" w:lineRule="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  合计总额：</w:t>
            </w:r>
            <w:r>
              <w:rPr>
                <w:rFonts w:hint="eastAsia" w:ascii="宋体" w:hAnsi="宋体" w:eastAsia="宋体" w:cs="宋体"/>
                <w:color w:val="auto"/>
                <w:sz w:val="21"/>
                <w:szCs w:val="21"/>
                <w:u w:val="none"/>
                <w:lang w:val="en-US" w:eastAsia="zh-CN"/>
              </w:rPr>
              <w:t>***********.00</w:t>
            </w:r>
            <w:r>
              <w:rPr>
                <w:rFonts w:hint="eastAsia" w:ascii="宋体" w:hAnsi="宋体" w:eastAsia="宋体" w:cs="宋体"/>
                <w:color w:val="auto"/>
                <w:sz w:val="21"/>
                <w:szCs w:val="21"/>
                <w:u w:val="none"/>
              </w:rPr>
              <w:t xml:space="preserve">元；    大写： </w:t>
            </w:r>
            <w:r>
              <w:rPr>
                <w:rFonts w:hint="eastAsia" w:ascii="宋体" w:hAnsi="宋体" w:eastAsia="宋体" w:cs="宋体"/>
                <w:color w:val="auto"/>
                <w:sz w:val="21"/>
                <w:szCs w:val="21"/>
                <w:u w:val="none"/>
                <w:lang w:val="en-US" w:eastAsia="zh-CN"/>
              </w:rPr>
              <w:t xml:space="preserve">人民币***********元整                 </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none"/>
                <w:lang w:val="en-US" w:eastAsia="zh-CN"/>
              </w:rPr>
              <w:t xml:space="preserve">  </w:t>
            </w:r>
          </w:p>
        </w:tc>
      </w:tr>
    </w:tbl>
    <w:p>
      <w:pPr>
        <w:pStyle w:val="76"/>
        <w:spacing w:line="360" w:lineRule="auto"/>
        <w:ind w:firstLine="480"/>
        <w:outlineLvl w:val="9"/>
        <w:rPr>
          <w:rFonts w:ascii="宋体" w:hAnsi="宋体" w:cs="宋体"/>
          <w:sz w:val="21"/>
          <w:szCs w:val="21"/>
        </w:rPr>
      </w:pPr>
      <w:r>
        <w:rPr>
          <w:rFonts w:hint="eastAsia" w:ascii="宋体" w:hAnsi="宋体" w:cs="宋体"/>
          <w:sz w:val="21"/>
          <w:szCs w:val="21"/>
        </w:rPr>
        <w:t>合同总额包括设备的设计、制造、随机零配件、标配工具、运输保险、安装、调试、培训、质保期服务、邮寄费、合同执行有关的一切税费及合同实施过程中不可预见的费用等一切费用。甲方不再向乙方支付其他任何费用。</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二、合同金额</w:t>
      </w:r>
    </w:p>
    <w:p>
      <w:pPr>
        <w:pStyle w:val="25"/>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合同总金额为（大写）：</w:t>
      </w:r>
      <w:r>
        <w:rPr>
          <w:rFonts w:hint="eastAsia" w:ascii="宋体" w:hAnsi="宋体" w:eastAsia="宋体" w:cs="宋体"/>
          <w:color w:val="auto"/>
          <w:sz w:val="21"/>
          <w:szCs w:val="21"/>
          <w:u w:val="single"/>
        </w:rPr>
        <w:t>人民币</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single"/>
        </w:rPr>
        <w:t xml:space="preserve">元整 </w:t>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single"/>
          <w:lang w:val="en-US" w:eastAsia="zh-CN"/>
        </w:rPr>
        <w:t>.00</w:t>
      </w:r>
      <w:r>
        <w:rPr>
          <w:rFonts w:hint="eastAsia" w:ascii="宋体" w:hAnsi="宋体" w:eastAsia="宋体" w:cs="宋体"/>
          <w:color w:val="auto"/>
          <w:sz w:val="21"/>
          <w:szCs w:val="21"/>
        </w:rPr>
        <w:t>元）。</w:t>
      </w:r>
    </w:p>
    <w:p>
      <w:pPr>
        <w:spacing w:line="360" w:lineRule="auto"/>
        <w:ind w:firstLine="422" w:firstLineChars="200"/>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 xml:space="preserve">三、甲方权利和义务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1.甲方需安排专人负责与乙方沟通现场安装调试等工作。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2.设备安装调试后甲方在</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个工作日内组织相关人员验收，验收不合格或者设备短缺甲方有权拒绝验收并要求乙方在</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天内更换或者补全完毕。</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3.甲方按合同规定的付款方式向乙方支付费用。</w:t>
      </w:r>
    </w:p>
    <w:p>
      <w:pPr>
        <w:spacing w:line="360" w:lineRule="auto"/>
        <w:ind w:firstLine="422" w:firstLineChars="200"/>
        <w:outlineLvl w:val="9"/>
        <w:rPr>
          <w:rFonts w:hint="eastAsia" w:ascii="宋体" w:hAnsi="宋体" w:eastAsia="宋体" w:cs="宋体"/>
          <w:color w:val="auto"/>
          <w:sz w:val="21"/>
          <w:szCs w:val="21"/>
        </w:rPr>
      </w:pPr>
      <w:r>
        <w:rPr>
          <w:rFonts w:hint="eastAsia" w:ascii="宋体" w:hAnsi="宋体" w:eastAsia="宋体" w:cs="宋体"/>
          <w:b/>
          <w:color w:val="auto"/>
          <w:sz w:val="21"/>
          <w:szCs w:val="21"/>
        </w:rPr>
        <w:t xml:space="preserve">四、乙方权利和义务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1.乙方需安排专人负责与甲方沟通现场安装调试等工作。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2.乙方按甲方要求将设备送到指定交货地点。 　　</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3.乙方在合同规定时间内完成供货和安装调试，若因不可抗力延误进度，乙方需以书面形式向甲方提出延期申请，并经甲方同意后方可延时。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4.乙方提供的设备需为原厂商包装未拆封过的全新产品，表面无划损，具备出厂合格证，序列号、包装箱号与出厂批号一致可追索查阅，在中国境内可依常规可安全合法使用，否则甲方有权拒收。</w:t>
      </w:r>
    </w:p>
    <w:p>
      <w:pPr>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5.乙方需将有关资料及随机工具等交付给甲方，使用操作及安全需知等重要资料应附有中文说明，否则甲方有权拒收。</w:t>
      </w:r>
    </w:p>
    <w:p>
      <w:pPr>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6.乙方保证合同项下提供的设备不侵犯任何第三方的专利、商标或版权，否则，乙方需承担对第三方的专利或版权的侵权责任并承担因此而发生的所有费用。</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五、交货期、交货方式</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1.交货期：签订合同后</w:t>
      </w:r>
      <w:r>
        <w:rPr>
          <w:rFonts w:hint="eastAsia" w:ascii="宋体" w:hAnsi="宋体" w:eastAsia="宋体" w:cs="宋体"/>
          <w:color w:val="auto"/>
          <w:sz w:val="21"/>
          <w:szCs w:val="21"/>
          <w:u w:val="single"/>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个日历日内完成供货。</w:t>
      </w:r>
    </w:p>
    <w:p>
      <w:pPr>
        <w:autoSpaceDE w:val="0"/>
        <w:autoSpaceDN w:val="0"/>
        <w:adjustRightInd w:val="0"/>
        <w:snapToGrid w:val="0"/>
        <w:spacing w:line="360" w:lineRule="auto"/>
        <w:ind w:firstLine="420" w:firstLineChars="200"/>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2.交货方式：送货上门至甲方指定地方。</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lang w:val="en-US" w:eastAsia="zh-CN"/>
        </w:rPr>
      </w:pPr>
      <w:bookmarkStart w:id="296" w:name="OLE_LINK23"/>
      <w:r>
        <w:rPr>
          <w:rFonts w:hint="eastAsia" w:ascii="宋体" w:hAnsi="宋体" w:eastAsia="宋体" w:cs="宋体"/>
          <w:b/>
          <w:color w:val="auto"/>
          <w:sz w:val="21"/>
          <w:szCs w:val="21"/>
          <w:lang w:val="en-US" w:eastAsia="zh-CN"/>
        </w:rPr>
        <w:t>六</w:t>
      </w:r>
      <w:r>
        <w:rPr>
          <w:rFonts w:hint="eastAsia" w:ascii="宋体" w:hAnsi="宋体" w:eastAsia="宋体" w:cs="宋体"/>
          <w:b/>
          <w:color w:val="auto"/>
          <w:sz w:val="21"/>
          <w:szCs w:val="21"/>
        </w:rPr>
        <w:t>、安装</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rPr>
        <w:t>调试</w:t>
      </w:r>
      <w:r>
        <w:rPr>
          <w:rFonts w:hint="eastAsia" w:ascii="宋体" w:hAnsi="宋体" w:eastAsia="宋体" w:cs="宋体"/>
          <w:b/>
          <w:color w:val="auto"/>
          <w:sz w:val="21"/>
          <w:szCs w:val="21"/>
          <w:lang w:eastAsia="zh-CN"/>
        </w:rPr>
        <w:t>、</w:t>
      </w:r>
      <w:r>
        <w:rPr>
          <w:rFonts w:hint="eastAsia" w:ascii="宋体" w:hAnsi="宋体" w:eastAsia="宋体" w:cs="宋体"/>
          <w:b/>
          <w:color w:val="auto"/>
          <w:sz w:val="21"/>
          <w:szCs w:val="21"/>
          <w:lang w:val="en-US" w:eastAsia="zh-CN"/>
        </w:rPr>
        <w:t>培训</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bookmarkStart w:id="297" w:name="OLE_LINK18"/>
      <w:r>
        <w:rPr>
          <w:rFonts w:hint="eastAsia" w:ascii="宋体" w:hAnsi="宋体" w:eastAsia="宋体" w:cs="宋体"/>
          <w:color w:val="auto"/>
          <w:sz w:val="21"/>
          <w:szCs w:val="21"/>
        </w:rPr>
        <w:t>1.乙方负责合同项下所有设备的安装和调式，</w:t>
      </w:r>
      <w:r>
        <w:rPr>
          <w:rFonts w:hint="eastAsia" w:ascii="宋体" w:hAnsi="宋体" w:eastAsia="宋体" w:cs="宋体"/>
          <w:b w:val="0"/>
          <w:bCs/>
          <w:color w:val="auto"/>
          <w:sz w:val="21"/>
          <w:szCs w:val="21"/>
          <w:lang w:val="en-US" w:eastAsia="zh-CN"/>
        </w:rPr>
        <w:t>保证整个安装、调试工作的质量和技术指标符合技术要求，</w:t>
      </w:r>
      <w:r>
        <w:rPr>
          <w:rFonts w:hint="eastAsia" w:ascii="宋体" w:hAnsi="宋体" w:eastAsia="宋体" w:cs="宋体"/>
          <w:color w:val="auto"/>
          <w:sz w:val="21"/>
          <w:szCs w:val="21"/>
        </w:rPr>
        <w:t>将设备调试至正常运行的最佳状态，所产生的可预见和不可预见的一切费用包含在合同总价当中，甲方不再向乙方支付任何费用。</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2.乙方安装时需对各安装场地内的其他设备、设施有良好保护措施，如在安装调试过程中，对装场地内的其他设备、设施有损坏行为，乙方应予以</w:t>
      </w:r>
      <w:r>
        <w:rPr>
          <w:rFonts w:hint="eastAsia" w:ascii="宋体" w:hAnsi="宋体" w:eastAsia="宋体" w:cs="宋体"/>
          <w:color w:val="auto"/>
          <w:sz w:val="21"/>
          <w:szCs w:val="21"/>
          <w:lang w:val="en-US" w:eastAsia="zh-CN"/>
        </w:rPr>
        <w:t>按采购价</w:t>
      </w:r>
      <w:r>
        <w:rPr>
          <w:rFonts w:hint="eastAsia" w:ascii="宋体" w:hAnsi="宋体" w:eastAsia="宋体" w:cs="宋体"/>
          <w:color w:val="auto"/>
          <w:sz w:val="21"/>
          <w:szCs w:val="21"/>
        </w:rPr>
        <w:t>赔偿</w:t>
      </w:r>
      <w:r>
        <w:rPr>
          <w:rFonts w:hint="eastAsia" w:ascii="宋体" w:hAnsi="宋体" w:eastAsia="宋体" w:cs="宋体"/>
          <w:color w:val="auto"/>
          <w:sz w:val="21"/>
          <w:szCs w:val="21"/>
          <w:lang w:eastAsia="zh-CN"/>
        </w:rPr>
        <w:t>。</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3.乙方需对甲方的维修人员提供培训，使其能对设备进行日常的维护保养及能对一般故障进行维修，由此产生的一切费用包含在</w:t>
      </w:r>
      <w:r>
        <w:rPr>
          <w:rFonts w:hint="eastAsia" w:ascii="宋体" w:hAnsi="宋体" w:cs="宋体"/>
          <w:b w:val="0"/>
          <w:bCs/>
          <w:color w:val="auto"/>
          <w:sz w:val="21"/>
          <w:szCs w:val="21"/>
          <w:lang w:val="en-US" w:eastAsia="zh-CN"/>
        </w:rPr>
        <w:t>合同</w:t>
      </w:r>
      <w:r>
        <w:rPr>
          <w:rFonts w:hint="eastAsia" w:ascii="宋体" w:hAnsi="宋体" w:eastAsia="宋体" w:cs="宋体"/>
          <w:b w:val="0"/>
          <w:bCs/>
          <w:color w:val="auto"/>
          <w:sz w:val="21"/>
          <w:szCs w:val="21"/>
          <w:lang w:val="en-US" w:eastAsia="zh-CN"/>
        </w:rPr>
        <w:t xml:space="preserve">总价之中，甲方不再向乙方支付其他任何费用。 </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4.乙方需对甲方的操作人员进行操作培训，使其能对设备进行熟练的操作，由此产生的一切费用包含在</w:t>
      </w:r>
      <w:r>
        <w:rPr>
          <w:rFonts w:hint="eastAsia" w:ascii="宋体" w:hAnsi="宋体" w:cs="宋体"/>
          <w:b w:val="0"/>
          <w:bCs/>
          <w:color w:val="auto"/>
          <w:sz w:val="21"/>
          <w:szCs w:val="21"/>
          <w:lang w:val="en-US" w:eastAsia="zh-CN"/>
        </w:rPr>
        <w:t>合同</w:t>
      </w:r>
      <w:r>
        <w:rPr>
          <w:rFonts w:hint="eastAsia" w:ascii="宋体" w:hAnsi="宋体" w:eastAsia="宋体" w:cs="宋体"/>
          <w:b w:val="0"/>
          <w:bCs/>
          <w:color w:val="auto"/>
          <w:sz w:val="21"/>
          <w:szCs w:val="21"/>
          <w:lang w:val="en-US" w:eastAsia="zh-CN"/>
        </w:rPr>
        <w:t xml:space="preserve">总价之中，甲方不再向乙方支付其他任何费用。 </w:t>
      </w:r>
    </w:p>
    <w:bookmarkEnd w:id="297"/>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七</w:t>
      </w:r>
      <w:r>
        <w:rPr>
          <w:rFonts w:hint="eastAsia" w:ascii="宋体" w:hAnsi="宋体" w:eastAsia="宋体" w:cs="宋体"/>
          <w:b/>
          <w:color w:val="auto"/>
          <w:sz w:val="21"/>
          <w:szCs w:val="21"/>
        </w:rPr>
        <w:t>、验收</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1.甲方</w:t>
      </w:r>
      <w:r>
        <w:rPr>
          <w:rFonts w:hint="eastAsia" w:ascii="宋体" w:hAnsi="宋体" w:eastAsia="宋体" w:cs="宋体"/>
          <w:color w:val="auto"/>
          <w:sz w:val="21"/>
          <w:szCs w:val="21"/>
          <w:lang w:val="en-US" w:eastAsia="zh-CN"/>
        </w:rPr>
        <w:t>与乙方</w:t>
      </w:r>
      <w:r>
        <w:rPr>
          <w:rFonts w:hint="eastAsia" w:ascii="宋体" w:hAnsi="宋体" w:eastAsia="宋体" w:cs="宋体"/>
          <w:color w:val="auto"/>
          <w:sz w:val="21"/>
          <w:szCs w:val="21"/>
        </w:rPr>
        <w:t>组成验收小组按国家有关规定、行业规范进行验收，必要时邀请相关的专业人员或机构参与验收。因设备质量问题发生争议时，由甲方当地质量技术监督部门鉴定。设备符合质量技术标准的，鉴定费由甲方承担；否则鉴定费由乙方承担。</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验收时如发现乙方所交付的设备有短装、次品、损坏或其它不符合本合同约定之情形者，甲方应作出详尽的现场记录或由甲乙双方签署备忘录，现场记录或备忘录可用作补充、缺失和更换损坏部件的有效证据，由此产生的补充、更换设备或部件等有关费用由乙方承担。</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.交付验收标准依次序对照适用标准为：①符合中华人民共和国国家安全质量标准、环保标准或行业标准；②符合招标文件和投标承诺中</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认可的合理最佳配置、参数及各项要求；③货物来源国官方标准。</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.货物为原厂商未启封全新包装，具有出厂合格证，序列号、包装箱号与出厂批号一致，并可追索查阅。所有随设备的附件必须齐全。 </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将货物的用户手册、保修手册、有关单证资料及备品备件、随机工具等交付给</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，使用操作及安全须知等重要资料应附有中文说明。</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.设备到货并经</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技术人员安装后，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有权委托中国有资格的单位对上述设备进行校准或检验，设备校准或检定所需的费用由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 xml:space="preserve">负担。 </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.货物验收</w:t>
      </w:r>
      <w:r>
        <w:rPr>
          <w:rFonts w:hint="eastAsia" w:ascii="宋体" w:hAnsi="宋体" w:eastAsia="宋体" w:cs="宋体"/>
          <w:color w:val="auto"/>
          <w:sz w:val="21"/>
          <w:szCs w:val="21"/>
          <w:lang w:val="en-US" w:eastAsia="zh-CN"/>
        </w:rPr>
        <w:t>过程中</w:t>
      </w:r>
      <w:r>
        <w:rPr>
          <w:rFonts w:hint="eastAsia" w:ascii="宋体" w:hAnsi="宋体" w:eastAsia="宋体" w:cs="宋体"/>
          <w:color w:val="auto"/>
          <w:sz w:val="21"/>
          <w:szCs w:val="21"/>
        </w:rPr>
        <w:t>所发生的检验费用由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lang w:val="en-US" w:eastAsia="zh-CN"/>
        </w:rPr>
        <w:t>承担</w:t>
      </w:r>
      <w:r>
        <w:rPr>
          <w:rFonts w:hint="eastAsia" w:ascii="宋体" w:hAnsi="宋体" w:eastAsia="宋体" w:cs="宋体"/>
          <w:color w:val="auto"/>
          <w:sz w:val="21"/>
          <w:szCs w:val="21"/>
        </w:rPr>
        <w:t>。</w:t>
      </w:r>
    </w:p>
    <w:p>
      <w:pPr>
        <w:autoSpaceDE w:val="0"/>
        <w:autoSpaceDN w:val="0"/>
        <w:adjustRightInd w:val="0"/>
        <w:snapToGrid w:val="0"/>
        <w:spacing w:line="360" w:lineRule="auto"/>
        <w:ind w:firstLine="420" w:firstLineChars="200"/>
        <w:outlineLvl w:val="9"/>
        <w:rPr>
          <w:rFonts w:hint="eastAsia"/>
          <w:sz w:val="21"/>
          <w:szCs w:val="21"/>
          <w:lang w:val="en-US"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如设备属于国家计量或检定的设备，</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须提供国家计量或检定机关所出具的合格证书，</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可协助</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联系有关部门进行检测，但相关检测费用由</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 xml:space="preserve">承担。 </w:t>
      </w:r>
    </w:p>
    <w:bookmarkEnd w:id="296"/>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八</w:t>
      </w:r>
      <w:r>
        <w:rPr>
          <w:rFonts w:hint="eastAsia" w:ascii="宋体" w:hAnsi="宋体" w:eastAsia="宋体" w:cs="宋体"/>
          <w:b/>
          <w:color w:val="auto"/>
          <w:sz w:val="21"/>
          <w:szCs w:val="21"/>
        </w:rPr>
        <w:t>、付款方式</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1.验收合格之日起60天内，支付成交总价的100%。</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w:t>
      </w:r>
      <w:r>
        <w:rPr>
          <w:rFonts w:hint="eastAsia" w:ascii="宋体" w:hAnsi="宋体" w:cs="宋体"/>
          <w:bCs w:val="0"/>
          <w:color w:val="auto"/>
          <w:spacing w:val="0"/>
          <w:sz w:val="21"/>
          <w:szCs w:val="21"/>
          <w:highlight w:val="none"/>
          <w:lang w:val="en-US" w:eastAsia="zh-CN"/>
        </w:rPr>
        <w:t>乙方</w:t>
      </w:r>
      <w:r>
        <w:rPr>
          <w:rFonts w:hint="eastAsia" w:ascii="宋体" w:hAnsi="宋体" w:cs="宋体"/>
          <w:bCs w:val="0"/>
          <w:color w:val="auto"/>
          <w:spacing w:val="0"/>
          <w:sz w:val="21"/>
          <w:szCs w:val="21"/>
          <w:highlight w:val="none"/>
        </w:rPr>
        <w:t>凭以下有效文件与</w:t>
      </w:r>
      <w:r>
        <w:rPr>
          <w:rFonts w:hint="eastAsia" w:ascii="宋体" w:hAnsi="宋体" w:cs="宋体"/>
          <w:bCs w:val="0"/>
          <w:color w:val="auto"/>
          <w:spacing w:val="0"/>
          <w:sz w:val="21"/>
          <w:szCs w:val="21"/>
          <w:highlight w:val="none"/>
          <w:lang w:val="en-US" w:eastAsia="zh-CN"/>
        </w:rPr>
        <w:t>甲方</w:t>
      </w:r>
      <w:r>
        <w:rPr>
          <w:rFonts w:hint="eastAsia" w:ascii="宋体" w:hAnsi="宋体" w:cs="宋体"/>
          <w:bCs w:val="0"/>
          <w:color w:val="auto"/>
          <w:spacing w:val="0"/>
          <w:sz w:val="21"/>
          <w:szCs w:val="21"/>
          <w:highlight w:val="none"/>
        </w:rPr>
        <w:t>结算：</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（1）采购合同；</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（2）</w:t>
      </w:r>
      <w:r>
        <w:rPr>
          <w:rFonts w:hint="eastAsia" w:ascii="宋体" w:hAnsi="宋体" w:cs="宋体"/>
          <w:bCs w:val="0"/>
          <w:color w:val="auto"/>
          <w:spacing w:val="0"/>
          <w:sz w:val="21"/>
          <w:szCs w:val="21"/>
          <w:highlight w:val="none"/>
          <w:lang w:val="en-US" w:eastAsia="zh-CN"/>
        </w:rPr>
        <w:t>有效</w:t>
      </w:r>
      <w:r>
        <w:rPr>
          <w:rFonts w:hint="eastAsia" w:ascii="宋体" w:hAnsi="宋体" w:cs="宋体"/>
          <w:bCs w:val="0"/>
          <w:color w:val="auto"/>
          <w:spacing w:val="0"/>
          <w:sz w:val="21"/>
          <w:szCs w:val="21"/>
          <w:highlight w:val="none"/>
        </w:rPr>
        <w:t>发票；</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（3）验收报告；</w:t>
      </w:r>
    </w:p>
    <w:p>
      <w:pPr>
        <w:pStyle w:val="60"/>
        <w:spacing w:line="360" w:lineRule="auto"/>
        <w:ind w:firstLine="420" w:firstLineChars="200"/>
        <w:outlineLvl w:val="9"/>
        <w:rPr>
          <w:rFonts w:hint="eastAsia" w:ascii="宋体" w:hAnsi="宋体" w:cs="宋体"/>
          <w:bCs w:val="0"/>
          <w:color w:val="auto"/>
          <w:spacing w:val="0"/>
          <w:sz w:val="21"/>
          <w:szCs w:val="21"/>
          <w:highlight w:val="none"/>
        </w:rPr>
      </w:pPr>
      <w:r>
        <w:rPr>
          <w:rFonts w:hint="eastAsia" w:ascii="宋体" w:hAnsi="宋体" w:cs="宋体"/>
          <w:bCs w:val="0"/>
          <w:color w:val="auto"/>
          <w:spacing w:val="0"/>
          <w:sz w:val="21"/>
          <w:szCs w:val="21"/>
          <w:highlight w:val="none"/>
        </w:rPr>
        <w:t>（4）成交通知书。</w:t>
      </w:r>
    </w:p>
    <w:p>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凭以下有效文件与</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 xml:space="preserve">结算： </w:t>
      </w:r>
    </w:p>
    <w:p>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（1）采购合同； </w:t>
      </w:r>
    </w:p>
    <w:p>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（2）有效发票； </w:t>
      </w:r>
    </w:p>
    <w:p>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（3）验收报告； </w:t>
      </w:r>
    </w:p>
    <w:p>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21"/>
          <w:sz w:val="21"/>
          <w:szCs w:val="21"/>
        </w:rPr>
      </w:pPr>
      <w:r>
        <w:rPr>
          <w:rFonts w:hint="eastAsia" w:ascii="宋体" w:hAnsi="宋体" w:eastAsia="宋体" w:cs="宋体"/>
          <w:color w:val="auto"/>
          <w:sz w:val="21"/>
          <w:szCs w:val="21"/>
        </w:rPr>
        <w:t>（4）中标（成交）通知书。</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bookmarkStart w:id="298" w:name="OLE_LINK24"/>
      <w:r>
        <w:rPr>
          <w:rFonts w:hint="eastAsia" w:ascii="宋体" w:hAnsi="宋体" w:eastAsia="宋体" w:cs="宋体"/>
          <w:b/>
          <w:color w:val="auto"/>
          <w:sz w:val="21"/>
          <w:szCs w:val="21"/>
          <w:lang w:val="en-US" w:eastAsia="zh-CN"/>
        </w:rPr>
        <w:t>九</w:t>
      </w:r>
      <w:r>
        <w:rPr>
          <w:rFonts w:hint="eastAsia" w:ascii="宋体" w:hAnsi="宋体" w:eastAsia="宋体" w:cs="宋体"/>
          <w:b/>
          <w:color w:val="auto"/>
          <w:sz w:val="21"/>
          <w:szCs w:val="21"/>
        </w:rPr>
        <w:t>、</w:t>
      </w:r>
      <w:bookmarkStart w:id="299" w:name="OLE_LINK54"/>
      <w:r>
        <w:rPr>
          <w:rFonts w:hint="eastAsia" w:ascii="宋体" w:hAnsi="宋体" w:eastAsia="宋体" w:cs="宋体"/>
          <w:b/>
          <w:color w:val="auto"/>
          <w:sz w:val="21"/>
          <w:szCs w:val="21"/>
        </w:rPr>
        <w:t>质保期及</w:t>
      </w:r>
      <w:bookmarkEnd w:id="299"/>
      <w:r>
        <w:rPr>
          <w:rFonts w:hint="eastAsia" w:ascii="宋体" w:hAnsi="宋体" w:eastAsia="宋体" w:cs="宋体"/>
          <w:b/>
          <w:color w:val="auto"/>
          <w:sz w:val="21"/>
          <w:szCs w:val="21"/>
        </w:rPr>
        <w:t>售后服务要求</w:t>
      </w:r>
    </w:p>
    <w:p>
      <w:pPr>
        <w:numPr>
          <w:ilvl w:val="0"/>
          <w:numId w:val="7"/>
        </w:numPr>
        <w:autoSpaceDE w:val="0"/>
        <w:autoSpaceDN w:val="0"/>
        <w:adjustRightInd w:val="0"/>
        <w:snapToGrid w:val="0"/>
        <w:spacing w:line="360" w:lineRule="auto"/>
        <w:ind w:left="874" w:leftChars="0" w:hanging="454" w:firstLineChars="0"/>
        <w:outlineLvl w:val="9"/>
        <w:rPr>
          <w:rFonts w:hint="eastAsia" w:ascii="宋体" w:hAnsi="宋体" w:cs="宋体"/>
          <w:color w:val="auto"/>
          <w:sz w:val="21"/>
          <w:szCs w:val="21"/>
          <w:lang w:eastAsia="zh-CN"/>
        </w:rPr>
      </w:pPr>
      <w:r>
        <w:rPr>
          <w:rFonts w:hint="eastAsia" w:ascii="宋体" w:hAnsi="宋体" w:eastAsia="宋体" w:cs="宋体"/>
          <w:color w:val="auto"/>
          <w:sz w:val="21"/>
          <w:szCs w:val="21"/>
        </w:rPr>
        <w:t>所有设备在签订合同后60天内完成供货，设备质量保证期（简称“质保期”）自验收合格之日起电子支气管内镜整体原厂全保</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年、检验科专用纯水机整体原厂全保</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年，质保期自验收报告中最靠后的落款时间之日起算</w:t>
      </w:r>
      <w:r>
        <w:rPr>
          <w:rFonts w:hint="eastAsia" w:ascii="宋体" w:hAnsi="宋体" w:cs="宋体"/>
          <w:color w:val="auto"/>
          <w:sz w:val="21"/>
          <w:szCs w:val="21"/>
          <w:lang w:eastAsia="zh-CN"/>
        </w:rPr>
        <w:t>。</w:t>
      </w:r>
    </w:p>
    <w:p>
      <w:pPr>
        <w:numPr>
          <w:ilvl w:val="0"/>
          <w:numId w:val="7"/>
        </w:numPr>
        <w:autoSpaceDE w:val="0"/>
        <w:autoSpaceDN w:val="0"/>
        <w:adjustRightInd w:val="0"/>
        <w:snapToGrid w:val="0"/>
        <w:spacing w:line="360" w:lineRule="auto"/>
        <w:ind w:left="874" w:leftChars="0" w:hanging="454" w:firstLineChars="0"/>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本合同项下</w:t>
      </w:r>
      <w:r>
        <w:rPr>
          <w:rFonts w:hint="eastAsia" w:ascii="宋体" w:hAnsi="宋体" w:eastAsia="宋体" w:cs="宋体"/>
          <w:color w:val="auto"/>
          <w:sz w:val="21"/>
          <w:szCs w:val="21"/>
          <w:lang w:val="en-US" w:eastAsia="zh-CN"/>
        </w:rPr>
        <w:t>所有设备</w:t>
      </w:r>
      <w:r>
        <w:rPr>
          <w:rFonts w:hint="eastAsia" w:ascii="宋体" w:hAnsi="宋体" w:eastAsia="宋体" w:cs="宋体"/>
          <w:color w:val="auto"/>
          <w:sz w:val="21"/>
          <w:szCs w:val="21"/>
        </w:rPr>
        <w:t>质量保证期（简称“质保期”）自验收合格之日起整体原厂全保</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年，质保期自验收报告中最靠后的落款时间之日起算，质保期内如零配件损坏，不维修，只更换原厂零配件。质保期内设备维修保养产生的所有费用包含在合同总价之中，甲方不再向乙方支付其他任何费用。</w:t>
      </w:r>
    </w:p>
    <w:p>
      <w:pPr>
        <w:numPr>
          <w:ilvl w:val="0"/>
          <w:numId w:val="7"/>
        </w:numPr>
        <w:autoSpaceDE w:val="0"/>
        <w:autoSpaceDN w:val="0"/>
        <w:adjustRightInd w:val="0"/>
        <w:snapToGrid w:val="0"/>
        <w:spacing w:line="360" w:lineRule="auto"/>
        <w:ind w:left="874" w:leftChars="0" w:hanging="454" w:firstLineChars="0"/>
        <w:outlineLvl w:val="9"/>
        <w:rPr>
          <w:rFonts w:hint="eastAsia" w:ascii="宋体" w:hAnsi="宋体" w:eastAsia="宋体" w:cs="宋体"/>
          <w:b w:val="0"/>
          <w:bCs/>
          <w:color w:val="auto"/>
          <w:sz w:val="21"/>
          <w:szCs w:val="21"/>
          <w:lang w:val="en-US" w:eastAsia="zh-CN"/>
        </w:rPr>
      </w:pPr>
      <w:bookmarkStart w:id="300" w:name="OLE_LINK36"/>
      <w:r>
        <w:rPr>
          <w:rFonts w:hint="eastAsia" w:ascii="宋体" w:hAnsi="宋体" w:cs="宋体"/>
          <w:color w:val="auto"/>
          <w:sz w:val="21"/>
          <w:szCs w:val="21"/>
        </w:rPr>
        <w:t>设备发生故障后，乙方保证在接到报修通知后</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小时内响应，</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小时内安排工程师到达现场，</w:t>
      </w:r>
      <w:r>
        <w:rPr>
          <w:rFonts w:hint="eastAsia" w:ascii="宋体" w:hAnsi="宋体" w:cs="宋体"/>
          <w:color w:val="auto"/>
          <w:sz w:val="21"/>
          <w:szCs w:val="21"/>
          <w:lang w:val="en-US" w:eastAsia="zh-CN"/>
        </w:rPr>
        <w:t>到达现场后</w:t>
      </w:r>
      <w:bookmarkStart w:id="301" w:name="OLE_LINK21"/>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bookmarkEnd w:id="301"/>
      <w:r>
        <w:rPr>
          <w:rFonts w:hint="eastAsia" w:ascii="宋体" w:hAnsi="宋体" w:cs="宋体"/>
          <w:color w:val="auto"/>
          <w:sz w:val="21"/>
          <w:szCs w:val="21"/>
        </w:rPr>
        <w:t>小时内处理完毕。若在</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rPr>
        <w:t>小时内仍未能有效解决，乙方需免费提供同档次的设备予甲方临时使用，所有费用包含在合同总价之中，甲方不再向乙方支付其他任何费用。</w:t>
      </w:r>
      <w:r>
        <w:rPr>
          <w:rFonts w:hint="eastAsia" w:ascii="宋体" w:hAnsi="宋体" w:eastAsia="宋体" w:cs="宋体"/>
          <w:b w:val="0"/>
          <w:bCs/>
          <w:color w:val="auto"/>
          <w:sz w:val="21"/>
          <w:szCs w:val="21"/>
          <w:lang w:val="en-US" w:eastAsia="zh-CN"/>
        </w:rPr>
        <w:t xml:space="preserve"> </w:t>
      </w:r>
    </w:p>
    <w:p>
      <w:pPr>
        <w:numPr>
          <w:ilvl w:val="0"/>
          <w:numId w:val="7"/>
        </w:numPr>
        <w:autoSpaceDE w:val="0"/>
        <w:autoSpaceDN w:val="0"/>
        <w:adjustRightInd w:val="0"/>
        <w:snapToGrid w:val="0"/>
        <w:spacing w:line="360" w:lineRule="auto"/>
        <w:ind w:left="874" w:leftChars="0" w:hanging="454" w:firstLineChars="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质保期内，如设备或零部件因非人为因素出现故障而造成短期停用时，则质保期相应顺延。如停用时间累计超过60个日历日则质保期重新计算。</w:t>
      </w:r>
    </w:p>
    <w:bookmarkEnd w:id="300"/>
    <w:p>
      <w:pPr>
        <w:numPr>
          <w:ilvl w:val="0"/>
          <w:numId w:val="7"/>
        </w:numPr>
        <w:autoSpaceDE w:val="0"/>
        <w:autoSpaceDN w:val="0"/>
        <w:adjustRightInd w:val="0"/>
        <w:snapToGrid w:val="0"/>
        <w:spacing w:line="360" w:lineRule="auto"/>
        <w:ind w:left="874" w:leftChars="0" w:hanging="454" w:firstLineChars="0"/>
        <w:outlineLvl w:val="9"/>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所有设备质保服务方式均为原厂工程师上门服务，由此产生的一切费用包含在合同总价之中，甲方不再向乙方支付其他任何费用。</w:t>
      </w:r>
    </w:p>
    <w:bookmarkEnd w:id="298"/>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十、违约责任与赔偿损失</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1.乙方交付的设备不符合本合同规定的，甲方有权拒收，乙方在双方协商的时间内未能更换完毕的，甲方有权向乙方收取合同总价</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eastAsia="宋体" w:cs="宋体"/>
          <w:b w:val="0"/>
          <w:bCs/>
          <w:color w:val="auto"/>
          <w:sz w:val="21"/>
          <w:szCs w:val="21"/>
        </w:rPr>
        <w:t>的违约金。</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2.乙方未能按本合同规定的交货时间交付设备的，甲方有权从逾期之日起每日按未到货设备金额</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eastAsia="宋体" w:cs="宋体"/>
          <w:b w:val="0"/>
          <w:bCs/>
          <w:color w:val="auto"/>
          <w:sz w:val="21"/>
          <w:szCs w:val="21"/>
        </w:rPr>
        <w:t>的数额向乙方收取违约金，逾期15天以上（含15天）的，甲方有权终止合同，合同终止后，乙方需退还甲方已向乙方支付的所有款项并向甲方支付合同总金额</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eastAsia="宋体" w:cs="宋体"/>
          <w:b w:val="0"/>
          <w:bCs/>
          <w:color w:val="auto"/>
          <w:sz w:val="21"/>
          <w:szCs w:val="21"/>
        </w:rPr>
        <w:t>的违约金，造成甲方其他损失的，经甲方定损后乙方应予以照价赔偿。</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3.乙方未能按本合同规定提供服务的，甲方有权终止合同，合同终止后，乙方需退还甲方已向乙方支付的所有款项并向甲方支付合同总金额</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eastAsia="宋体" w:cs="宋体"/>
          <w:b w:val="0"/>
          <w:bCs/>
          <w:color w:val="auto"/>
          <w:sz w:val="21"/>
          <w:szCs w:val="21"/>
        </w:rPr>
        <w:t>的违约金，造成甲方其他损失的，经甲方定损后乙方应予以照价赔偿。</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4.甲方无正当理由拒绝接受乙方提供的货物的，乙方有权向甲方收取合同总金额的</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eastAsia="宋体" w:cs="宋体"/>
          <w:b w:val="0"/>
          <w:bCs/>
          <w:color w:val="auto"/>
          <w:sz w:val="21"/>
          <w:szCs w:val="21"/>
        </w:rPr>
        <w:t>作为违约金；甲方到期拒付合同款项的，乙方有权要求甲方每日按逾期金额</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 xml:space="preserve"> </w:t>
      </w:r>
      <w:r>
        <w:rPr>
          <w:rFonts w:hint="eastAsia" w:ascii="宋体" w:hAnsi="宋体" w:eastAsia="宋体" w:cs="宋体"/>
          <w:b w:val="0"/>
          <w:bCs/>
          <w:color w:val="auto"/>
          <w:sz w:val="21"/>
          <w:szCs w:val="21"/>
        </w:rPr>
        <w:t>向乙方支付违约金。</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5.本合同生效后，如任何一方违约，守约方为维护权益，向违约方追偿的一切费用包括但不限于律师费、诉讼费、保全费、鉴定费、差旅费由违约方承担。</w:t>
      </w:r>
    </w:p>
    <w:p>
      <w:pPr>
        <w:tabs>
          <w:tab w:val="left" w:pos="426"/>
        </w:tabs>
        <w:adjustRightInd w:val="0"/>
        <w:snapToGrid w:val="0"/>
        <w:spacing w:line="360" w:lineRule="auto"/>
        <w:ind w:firstLine="420" w:firstLineChars="200"/>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6.其它违约责任按《中华人民共和国民法典》处理。</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十一、争议的解决</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合同执行过程中发生的任何争议，如双方不能通过友好协商解决，甲、乙双方一致同意向甲方所在地人民法院提起诉讼。</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十二、不可抗力</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spacing w:line="360" w:lineRule="auto"/>
        <w:ind w:firstLine="413" w:firstLineChars="196"/>
        <w:jc w:val="left"/>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十三、合同组成</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1.本合同所有附件、</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文件、</w:t>
      </w:r>
      <w:r>
        <w:rPr>
          <w:rFonts w:hint="eastAsia" w:ascii="宋体" w:hAnsi="宋体" w:cs="宋体"/>
          <w:color w:val="auto"/>
          <w:sz w:val="21"/>
          <w:szCs w:val="21"/>
          <w:lang w:val="en-US" w:eastAsia="zh-CN"/>
        </w:rPr>
        <w:t>响应</w:t>
      </w:r>
      <w:r>
        <w:rPr>
          <w:rFonts w:hint="eastAsia" w:ascii="宋体" w:hAnsi="宋体" w:eastAsia="宋体" w:cs="宋体"/>
          <w:color w:val="auto"/>
          <w:sz w:val="21"/>
          <w:szCs w:val="21"/>
        </w:rPr>
        <w:t>文件、报价文件等均为合同的有效组成部分，与本合同具有同等法律效力。</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2.在协商和执行本合同的过程中，所有经双方签署确认的文件（包括会议纪要、补充协议、往来信函）也可成为本合同的有效组成部分。</w:t>
      </w:r>
    </w:p>
    <w:p>
      <w:pPr>
        <w:widowControl/>
        <w:spacing w:line="360" w:lineRule="auto"/>
        <w:ind w:firstLine="420" w:firstLineChars="200"/>
        <w:jc w:val="left"/>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 xml:space="preserve">3.若以上不同文件之间有冲突的，适用有利于甲方的条款。  </w:t>
      </w:r>
    </w:p>
    <w:p>
      <w:pPr>
        <w:tabs>
          <w:tab w:val="left" w:pos="426"/>
        </w:tabs>
        <w:adjustRightInd w:val="0"/>
        <w:snapToGrid w:val="0"/>
        <w:spacing w:line="360" w:lineRule="auto"/>
        <w:ind w:firstLine="422" w:firstLineChars="20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十四、其它</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1.甲、乙双方对于执行本合同过程中，对本合同条文或获悉的对方信息负有保密义务。在合同有效期内及有效期结束后的任何时间均不得用于与合同无关的项目或泄露给第三方，否则，由于过错导致的上述信息泄密的，过错方须承担一切责任。</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 xml:space="preserve">2.如一方地址、电话等联系信息有变更，应在变更当日内书面通知对方，否则，应承担相应责任。 </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3.除甲方事先书面同意外，乙方不得部分或全部转让其应履行的合同项下的义务。</w:t>
      </w:r>
    </w:p>
    <w:p>
      <w:pPr>
        <w:widowControl/>
        <w:spacing w:line="360" w:lineRule="auto"/>
        <w:ind w:firstLine="420" w:firstLineChars="200"/>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4.本合同经双方授权代表签字并加盖合同专用章或公章之日起生效，合同生效日期以最后一个签字日为准。</w:t>
      </w:r>
    </w:p>
    <w:p>
      <w:pPr>
        <w:autoSpaceDE w:val="0"/>
        <w:autoSpaceDN w:val="0"/>
        <w:adjustRightInd w:val="0"/>
        <w:snapToGrid w:val="0"/>
        <w:spacing w:line="360" w:lineRule="auto"/>
        <w:ind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5.合同一式</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份，其中甲方执</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份，乙方执</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份，均具有同等法律效力。</w:t>
      </w:r>
    </w:p>
    <w:p>
      <w:pPr>
        <w:autoSpaceDE w:val="0"/>
        <w:autoSpaceDN w:val="0"/>
        <w:adjustRightInd w:val="0"/>
        <w:snapToGrid w:val="0"/>
        <w:spacing w:line="360" w:lineRule="auto"/>
        <w:jc w:val="center"/>
        <w:outlineLvl w:val="9"/>
        <w:rPr>
          <w:rFonts w:hint="eastAsia" w:ascii="宋体" w:hAnsi="宋体" w:eastAsia="宋体" w:cs="宋体"/>
          <w:color w:val="auto"/>
          <w:sz w:val="21"/>
          <w:szCs w:val="21"/>
        </w:rPr>
      </w:pPr>
      <w:bookmarkStart w:id="302" w:name="_Toc18394_WPSOffice_Level1"/>
      <w:r>
        <w:rPr>
          <w:rFonts w:hint="eastAsia" w:ascii="宋体" w:hAnsi="宋体" w:eastAsia="宋体" w:cs="宋体"/>
          <w:color w:val="auto"/>
          <w:sz w:val="21"/>
          <w:szCs w:val="21"/>
        </w:rPr>
        <w:t>（以下无正文）</w:t>
      </w:r>
      <w:bookmarkEnd w:id="302"/>
    </w:p>
    <w:p>
      <w:pPr>
        <w:pStyle w:val="2"/>
        <w:ind w:left="0" w:leftChars="0" w:firstLine="0" w:firstLineChars="0"/>
        <w:outlineLvl w:val="9"/>
        <w:rPr>
          <w:rFonts w:hint="eastAsia" w:ascii="宋体" w:hAnsi="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outlineLvl w:val="9"/>
        <w:rPr>
          <w:rFonts w:ascii="宋体" w:hAnsi="宋体" w:cs="宋体"/>
          <w:b/>
          <w:color w:val="auto"/>
          <w:sz w:val="21"/>
          <w:szCs w:val="21"/>
        </w:rPr>
      </w:pPr>
      <w:bookmarkStart w:id="303" w:name="_Toc14779_WPSOffice_Level1"/>
      <w:r>
        <w:rPr>
          <w:rFonts w:hint="eastAsia" w:ascii="宋体" w:hAnsi="宋体" w:cs="宋体"/>
          <w:b/>
          <w:color w:val="auto"/>
          <w:sz w:val="21"/>
          <w:szCs w:val="21"/>
        </w:rPr>
        <w:t>签署页</w:t>
      </w:r>
      <w:bookmarkEnd w:id="303"/>
    </w:p>
    <w:p>
      <w:pPr>
        <w:spacing w:line="480" w:lineRule="auto"/>
        <w:jc w:val="left"/>
        <w:outlineLvl w:val="9"/>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rPr>
        <w:t>甲方：</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cs="宋体"/>
          <w:b/>
          <w:bCs/>
          <w:color w:val="auto"/>
          <w:sz w:val="21"/>
          <w:szCs w:val="21"/>
        </w:rPr>
        <w:t>乙方：</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left"/>
        <w:textAlignment w:val="auto"/>
        <w:outlineLvl w:val="9"/>
        <w:rPr>
          <w:rFonts w:ascii="宋体" w:hAnsi="宋体" w:cs="宋体"/>
          <w:color w:val="auto"/>
          <w:sz w:val="21"/>
          <w:szCs w:val="21"/>
        </w:rPr>
      </w:pPr>
      <w:r>
        <w:rPr>
          <w:rFonts w:hint="eastAsia" w:ascii="宋体" w:hAnsi="宋体" w:cs="宋体"/>
          <w:b/>
          <w:bCs/>
          <w:color w:val="auto"/>
          <w:sz w:val="21"/>
          <w:szCs w:val="21"/>
        </w:rPr>
        <w:t xml:space="preserve">法定代表人或授权代表：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法定代表人或授权代表：</w:t>
      </w:r>
    </w:p>
    <w:p>
      <w:pPr>
        <w:spacing w:line="480" w:lineRule="auto"/>
        <w:jc w:val="left"/>
        <w:outlineLvl w:val="9"/>
        <w:rPr>
          <w:rFonts w:ascii="宋体" w:hAnsi="宋体" w:cs="宋体"/>
          <w:color w:val="auto"/>
          <w:sz w:val="21"/>
          <w:szCs w:val="21"/>
        </w:rPr>
      </w:pPr>
      <w:r>
        <w:rPr>
          <w:rFonts w:hint="eastAsia" w:ascii="宋体" w:hAnsi="宋体" w:cs="宋体"/>
          <w:b/>
          <w:bCs/>
          <w:color w:val="auto"/>
          <w:sz w:val="21"/>
          <w:szCs w:val="21"/>
        </w:rPr>
        <w:t>日 期：</w:t>
      </w:r>
      <w:r>
        <w:rPr>
          <w:rFonts w:hint="eastAsia" w:ascii="宋体" w:hAnsi="宋体" w:cs="宋体"/>
          <w:color w:val="auto"/>
          <w:sz w:val="21"/>
          <w:szCs w:val="21"/>
        </w:rPr>
        <w:t xml:space="preserve">2024年    月     日          </w:t>
      </w:r>
      <w:r>
        <w:rPr>
          <w:rFonts w:hint="eastAsia" w:ascii="宋体" w:hAnsi="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cs="宋体"/>
          <w:b/>
          <w:bCs/>
          <w:color w:val="auto"/>
          <w:sz w:val="21"/>
          <w:szCs w:val="21"/>
        </w:rPr>
        <w:t xml:space="preserve"> </w:t>
      </w:r>
      <w:r>
        <w:rPr>
          <w:rFonts w:hint="eastAsia" w:ascii="宋体" w:hAnsi="宋体" w:cs="宋体"/>
          <w:b/>
          <w:bCs/>
          <w:color w:val="auto"/>
          <w:sz w:val="21"/>
          <w:szCs w:val="21"/>
          <w:lang w:val="en-US" w:eastAsia="zh-CN"/>
        </w:rPr>
        <w:t xml:space="preserve">     </w:t>
      </w:r>
      <w:r>
        <w:rPr>
          <w:rFonts w:hint="eastAsia" w:ascii="宋体" w:hAnsi="宋体" w:cs="宋体"/>
          <w:color w:val="auto"/>
          <w:sz w:val="21"/>
          <w:szCs w:val="21"/>
        </w:rPr>
        <w:t xml:space="preserve">日  期 ：2024年   月    日 </w:t>
      </w:r>
    </w:p>
    <w:p>
      <w:pPr>
        <w:spacing w:line="480" w:lineRule="auto"/>
        <w:jc w:val="left"/>
        <w:outlineLvl w:val="9"/>
        <w:rPr>
          <w:rFonts w:ascii="宋体" w:hAnsi="宋体" w:cs="宋体"/>
          <w:color w:val="auto"/>
          <w:sz w:val="21"/>
          <w:szCs w:val="21"/>
        </w:rPr>
      </w:pPr>
      <w:r>
        <w:rPr>
          <w:rFonts w:hint="eastAsia" w:ascii="宋体" w:hAnsi="宋体" w:cs="宋体"/>
          <w:b/>
          <w:bCs/>
          <w:color w:val="auto"/>
          <w:sz w:val="21"/>
          <w:szCs w:val="21"/>
        </w:rPr>
        <w:t>开户名称：</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开户名称：</w:t>
      </w:r>
      <w:r>
        <w:rPr>
          <w:rFonts w:hint="eastAsia" w:ascii="宋体" w:hAnsi="宋体" w:cs="宋体"/>
          <w:b w:val="0"/>
          <w:bCs w:val="0"/>
          <w:color w:val="auto"/>
          <w:sz w:val="21"/>
          <w:szCs w:val="21"/>
        </w:rPr>
        <w:t xml:space="preserve">   </w:t>
      </w:r>
      <w:r>
        <w:rPr>
          <w:rFonts w:hint="eastAsia" w:ascii="宋体" w:hAnsi="宋体" w:cs="宋体"/>
          <w:bCs/>
          <w:color w:val="auto"/>
          <w:sz w:val="21"/>
          <w:szCs w:val="21"/>
        </w:rPr>
        <w:t xml:space="preserve">        </w:t>
      </w:r>
      <w:r>
        <w:rPr>
          <w:rFonts w:hint="eastAsia" w:ascii="宋体" w:hAnsi="宋体" w:cs="宋体"/>
          <w:color w:val="auto"/>
          <w:sz w:val="21"/>
          <w:szCs w:val="21"/>
        </w:rPr>
        <w:t xml:space="preserve">                </w:t>
      </w:r>
    </w:p>
    <w:p>
      <w:pPr>
        <w:spacing w:line="480" w:lineRule="auto"/>
        <w:jc w:val="left"/>
        <w:outlineLvl w:val="9"/>
        <w:rPr>
          <w:rFonts w:ascii="宋体" w:hAnsi="宋体" w:cs="宋体"/>
          <w:bCs/>
          <w:color w:val="auto"/>
          <w:sz w:val="21"/>
          <w:szCs w:val="21"/>
        </w:rPr>
      </w:pPr>
      <w:r>
        <w:rPr>
          <w:rFonts w:hint="eastAsia" w:ascii="宋体" w:hAnsi="宋体" w:cs="宋体"/>
          <w:b/>
          <w:bCs/>
          <w:color w:val="auto"/>
          <w:sz w:val="21"/>
          <w:szCs w:val="21"/>
        </w:rPr>
        <w:t>开户银行：</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开户银行：</w:t>
      </w:r>
    </w:p>
    <w:p>
      <w:pPr>
        <w:spacing w:line="480" w:lineRule="auto"/>
        <w:ind w:left="4819" w:hanging="4216" w:hangingChars="2000"/>
        <w:jc w:val="left"/>
        <w:outlineLvl w:val="9"/>
        <w:rPr>
          <w:rFonts w:hint="eastAsia" w:ascii="宋体" w:hAnsi="宋体" w:cs="宋体"/>
          <w:b/>
          <w:bCs/>
          <w:color w:val="auto"/>
          <w:sz w:val="21"/>
          <w:szCs w:val="21"/>
        </w:rPr>
      </w:pPr>
      <w:r>
        <w:rPr>
          <w:rFonts w:hint="eastAsia" w:ascii="宋体" w:hAnsi="宋体" w:cs="宋体"/>
          <w:b/>
          <w:bCs/>
          <w:color w:val="auto"/>
          <w:sz w:val="21"/>
          <w:szCs w:val="21"/>
        </w:rPr>
        <w:t>银行账号：</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银行账号：</w:t>
      </w:r>
    </w:p>
    <w:p>
      <w:pPr>
        <w:spacing w:line="480" w:lineRule="auto"/>
        <w:ind w:left="4819" w:hanging="4216" w:hangingChars="2000"/>
        <w:jc w:val="left"/>
        <w:outlineLvl w:val="9"/>
        <w:rPr>
          <w:rFonts w:ascii="宋体" w:hAnsi="宋体" w:cs="宋体"/>
          <w:b/>
          <w:bCs/>
          <w:color w:val="auto"/>
          <w:sz w:val="21"/>
          <w:szCs w:val="21"/>
        </w:rPr>
      </w:pPr>
      <w:r>
        <w:rPr>
          <w:rFonts w:hint="eastAsia" w:ascii="宋体" w:hAnsi="宋体" w:cs="宋体"/>
          <w:b/>
          <w:bCs/>
          <w:color w:val="auto"/>
          <w:sz w:val="21"/>
          <w:szCs w:val="21"/>
        </w:rPr>
        <w:t>统一社会信用代码号：</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b/>
          <w:bCs/>
          <w:color w:val="auto"/>
          <w:sz w:val="21"/>
          <w:szCs w:val="21"/>
        </w:rPr>
        <w:t>纳税人识别号：</w:t>
      </w:r>
    </w:p>
    <w:p>
      <w:pPr>
        <w:pStyle w:val="38"/>
        <w:outlineLvl w:val="9"/>
        <w:rPr>
          <w:rFonts w:hint="eastAsia" w:ascii="宋体" w:hAnsi="宋体" w:eastAsia="宋体" w:cs="宋体"/>
          <w:color w:val="auto"/>
          <w:sz w:val="21"/>
          <w:szCs w:val="21"/>
          <w:highlight w:val="none"/>
        </w:rPr>
      </w:pPr>
    </w:p>
    <w:p>
      <w:pPr>
        <w:pStyle w:val="38"/>
        <w:outlineLvl w:val="9"/>
        <w:rPr>
          <w:rFonts w:hint="eastAsia" w:ascii="宋体" w:hAnsi="宋体" w:eastAsia="宋体" w:cs="宋体"/>
          <w:color w:val="auto"/>
          <w:sz w:val="21"/>
          <w:szCs w:val="21"/>
          <w:highlight w:val="none"/>
        </w:rPr>
      </w:pPr>
    </w:p>
    <w:p>
      <w:pPr>
        <w:pStyle w:val="38"/>
        <w:outlineLvl w:val="9"/>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rPr>
          <w:rFonts w:hint="eastAsia" w:ascii="宋体" w:hAnsi="宋体" w:eastAsia="宋体" w:cs="宋体"/>
          <w:color w:val="auto"/>
          <w:sz w:val="21"/>
          <w:szCs w:val="21"/>
          <w:highlight w:val="none"/>
        </w:rPr>
      </w:pPr>
    </w:p>
    <w:p>
      <w:pPr>
        <w:pStyle w:val="38"/>
        <w:ind w:left="0" w:leftChars="0" w:firstLine="0" w:firstLineChars="0"/>
        <w:rPr>
          <w:rFonts w:hint="eastAsia" w:ascii="宋体" w:hAnsi="宋体" w:eastAsia="宋体" w:cs="宋体"/>
          <w:color w:val="auto"/>
          <w:sz w:val="21"/>
          <w:szCs w:val="21"/>
          <w:highlight w:val="none"/>
        </w:rPr>
      </w:pPr>
    </w:p>
    <w:p>
      <w:pPr>
        <w:pStyle w:val="5"/>
        <w:spacing w:before="0" w:after="0" w:line="480" w:lineRule="auto"/>
        <w:jc w:val="center"/>
        <w:outlineLvl w:val="0"/>
        <w:rPr>
          <w:rFonts w:hint="eastAsia" w:ascii="宋体" w:hAnsi="宋体" w:cs="宋体"/>
          <w:color w:val="auto"/>
          <w:sz w:val="30"/>
          <w:szCs w:val="30"/>
          <w:highlight w:val="none"/>
        </w:rPr>
      </w:pPr>
      <w:bookmarkStart w:id="304" w:name="_Toc30388"/>
      <w:bookmarkStart w:id="305" w:name="_Toc19646"/>
      <w:bookmarkStart w:id="306" w:name="_Toc16633_WPSOffice_Level1"/>
      <w:bookmarkStart w:id="307" w:name="_Toc24867"/>
      <w:bookmarkStart w:id="308" w:name="_Toc8070"/>
      <w:bookmarkStart w:id="309" w:name="_Toc41723931"/>
      <w:bookmarkStart w:id="310" w:name="_Toc50276166"/>
      <w:bookmarkStart w:id="311" w:name="_Toc42313167"/>
      <w:bookmarkStart w:id="312" w:name="_Toc98580294"/>
      <w:bookmarkStart w:id="313" w:name="_Toc46308688"/>
      <w:bookmarkStart w:id="314" w:name="_Toc41723937"/>
      <w:bookmarkStart w:id="315" w:name="_Toc98579611"/>
      <w:bookmarkStart w:id="316" w:name="_Toc46308532"/>
      <w:bookmarkStart w:id="317" w:name="_Toc50276205"/>
      <w:bookmarkStart w:id="318" w:name="_Toc42394674"/>
      <w:bookmarkStart w:id="319" w:name="_Toc98579070"/>
      <w:bookmarkStart w:id="320" w:name="_Toc41884701"/>
      <w:bookmarkStart w:id="321" w:name="_Toc41884707"/>
      <w:bookmarkStart w:id="322" w:name="_Toc98035090"/>
      <w:bookmarkStart w:id="323" w:name="_Toc42394518"/>
      <w:bookmarkStart w:id="324" w:name="_Toc42313173"/>
      <w:bookmarkStart w:id="325" w:name="_Toc98579012"/>
      <w:r>
        <w:rPr>
          <w:rFonts w:hint="eastAsia" w:ascii="宋体" w:hAnsi="宋体" w:cs="宋体"/>
          <w:color w:val="auto"/>
          <w:sz w:val="30"/>
          <w:szCs w:val="30"/>
          <w:highlight w:val="none"/>
        </w:rPr>
        <w:t>第</w:t>
      </w:r>
      <w:r>
        <w:rPr>
          <w:rFonts w:hint="eastAsia" w:ascii="宋体" w:hAnsi="宋体" w:cs="宋体"/>
          <w:color w:val="auto"/>
          <w:sz w:val="30"/>
          <w:szCs w:val="30"/>
          <w:highlight w:val="none"/>
          <w:lang w:val="en-US" w:eastAsia="zh-CN"/>
        </w:rPr>
        <w:t>四</w:t>
      </w:r>
      <w:r>
        <w:rPr>
          <w:rFonts w:hint="eastAsia" w:ascii="宋体" w:hAnsi="宋体" w:cs="宋体"/>
          <w:color w:val="auto"/>
          <w:sz w:val="30"/>
          <w:szCs w:val="30"/>
          <w:highlight w:val="none"/>
        </w:rPr>
        <w:t xml:space="preserve">章 </w:t>
      </w:r>
      <w:r>
        <w:rPr>
          <w:rFonts w:hint="eastAsia" w:ascii="宋体" w:hAnsi="宋体" w:cs="宋体"/>
          <w:color w:val="auto"/>
          <w:sz w:val="30"/>
          <w:szCs w:val="30"/>
          <w:highlight w:val="none"/>
          <w:lang w:val="en-US" w:eastAsia="zh-CN"/>
        </w:rPr>
        <w:t>评分方法</w:t>
      </w:r>
      <w:bookmarkEnd w:id="304"/>
      <w:bookmarkEnd w:id="305"/>
      <w:bookmarkEnd w:id="306"/>
      <w:bookmarkEnd w:id="307"/>
      <w:bookmarkEnd w:id="308"/>
    </w:p>
    <w:p>
      <w:pPr>
        <w:pStyle w:val="7"/>
        <w:rPr>
          <w:rFonts w:ascii="宋体" w:hAnsi="宋体" w:cs="宋体"/>
          <w:color w:val="auto"/>
          <w:szCs w:val="21"/>
          <w:highlight w:val="none"/>
        </w:rPr>
      </w:pPr>
    </w:p>
    <w:p>
      <w:pPr>
        <w:numPr>
          <w:ilvl w:val="1"/>
          <w:numId w:val="8"/>
        </w:num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评审权重</w:t>
      </w:r>
    </w:p>
    <w:p>
      <w:pPr>
        <w:tabs>
          <w:tab w:val="left" w:pos="851"/>
        </w:tabs>
        <w:spacing w:line="360" w:lineRule="auto"/>
        <w:ind w:firstLine="420" w:firstLineChars="200"/>
        <w:outlineLvl w:val="9"/>
        <w:rPr>
          <w:rFonts w:ascii="宋体" w:hAnsi="宋体" w:cs="宋体"/>
          <w:color w:val="auto"/>
          <w:szCs w:val="21"/>
          <w:highlight w:val="none"/>
        </w:rPr>
      </w:pPr>
      <w:r>
        <w:rPr>
          <w:rFonts w:hint="eastAsia" w:ascii="宋体" w:hAnsi="宋体" w:cs="宋体"/>
          <w:color w:val="auto"/>
          <w:szCs w:val="21"/>
          <w:highlight w:val="none"/>
        </w:rPr>
        <w:t>评分总值最高为100分，评分分值（权重）分配如下：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2663"/>
        <w:gridCol w:w="266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评分项目</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lang w:val="en-US" w:eastAsia="zh-CN"/>
              </w:rPr>
              <w:t>技术</w:t>
            </w:r>
            <w:r>
              <w:rPr>
                <w:rFonts w:hint="eastAsia" w:ascii="宋体" w:hAnsi="宋体" w:cs="宋体"/>
                <w:b/>
                <w:bCs/>
                <w:color w:val="auto"/>
                <w:kern w:val="2"/>
                <w:szCs w:val="21"/>
                <w:highlight w:val="none"/>
              </w:rPr>
              <w:t>评分</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商务评分</w:t>
            </w:r>
          </w:p>
        </w:tc>
        <w:tc>
          <w:tcPr>
            <w:tcW w:w="2458"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widowControl w:val="0"/>
              <w:spacing w:line="360" w:lineRule="auto"/>
              <w:jc w:val="center"/>
              <w:outlineLvl w:val="9"/>
              <w:rPr>
                <w:rFonts w:ascii="宋体" w:hAnsi="宋体" w:cs="宋体"/>
                <w:bCs/>
                <w:color w:val="auto"/>
                <w:kern w:val="2"/>
                <w:szCs w:val="21"/>
                <w:highlight w:val="none"/>
              </w:rPr>
            </w:pPr>
            <w:r>
              <w:rPr>
                <w:rFonts w:hint="eastAsia" w:ascii="宋体" w:hAnsi="宋体" w:cs="宋体"/>
                <w:bCs/>
                <w:color w:val="auto"/>
                <w:kern w:val="2"/>
                <w:szCs w:val="21"/>
                <w:highlight w:val="none"/>
              </w:rPr>
              <w:t>权重</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lang w:val="en-US" w:eastAsia="zh-CN"/>
              </w:rPr>
              <w:t>55</w:t>
            </w:r>
            <w:r>
              <w:rPr>
                <w:rFonts w:hint="eastAsia" w:ascii="宋体" w:hAnsi="宋体" w:cs="宋体"/>
                <w:b/>
                <w:bCs/>
                <w:color w:val="auto"/>
                <w:kern w:val="2"/>
                <w:szCs w:val="21"/>
                <w:highlight w:val="none"/>
              </w:rPr>
              <w:t>%</w:t>
            </w:r>
          </w:p>
        </w:tc>
        <w:tc>
          <w:tcPr>
            <w:tcW w:w="2663"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lang w:val="en-US" w:eastAsia="zh-CN"/>
              </w:rPr>
              <w:t>15</w:t>
            </w:r>
            <w:r>
              <w:rPr>
                <w:rFonts w:hint="eastAsia" w:ascii="宋体" w:hAnsi="宋体" w:cs="宋体"/>
                <w:b/>
                <w:bCs/>
                <w:color w:val="auto"/>
                <w:kern w:val="2"/>
                <w:szCs w:val="21"/>
                <w:highlight w:val="none"/>
              </w:rPr>
              <w:t>%</w:t>
            </w:r>
          </w:p>
        </w:tc>
        <w:tc>
          <w:tcPr>
            <w:tcW w:w="2458"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widowControl w:val="0"/>
              <w:spacing w:line="360" w:lineRule="auto"/>
              <w:jc w:val="center"/>
              <w:outlineLvl w:val="9"/>
              <w:rPr>
                <w:rFonts w:ascii="宋体" w:hAnsi="宋体" w:cs="宋体"/>
                <w:bCs/>
                <w:color w:val="auto"/>
                <w:kern w:val="2"/>
                <w:szCs w:val="21"/>
                <w:highlight w:val="none"/>
              </w:rPr>
            </w:pPr>
            <w:r>
              <w:rPr>
                <w:rFonts w:hint="eastAsia" w:ascii="宋体" w:hAnsi="宋体" w:cs="宋体"/>
                <w:bCs/>
                <w:color w:val="auto"/>
                <w:kern w:val="2"/>
                <w:szCs w:val="21"/>
                <w:highlight w:val="none"/>
              </w:rPr>
              <w:t>分值</w:t>
            </w:r>
          </w:p>
        </w:tc>
        <w:tc>
          <w:tcPr>
            <w:tcW w:w="2663" w:type="dxa"/>
            <w:vAlign w:val="center"/>
          </w:tcPr>
          <w:p>
            <w:pPr>
              <w:widowControl w:val="0"/>
              <w:spacing w:line="360" w:lineRule="auto"/>
              <w:jc w:val="center"/>
              <w:outlineLvl w:val="9"/>
              <w:rPr>
                <w:rFonts w:hint="default" w:ascii="宋体" w:hAnsi="宋体" w:eastAsia="宋体" w:cs="宋体"/>
                <w:b/>
                <w:bCs/>
                <w:color w:val="auto"/>
                <w:kern w:val="2"/>
                <w:szCs w:val="21"/>
                <w:highlight w:val="none"/>
                <w:lang w:val="en-US" w:eastAsia="zh-CN"/>
              </w:rPr>
            </w:pPr>
            <w:r>
              <w:rPr>
                <w:rFonts w:hint="eastAsia" w:ascii="宋体" w:hAnsi="宋体" w:cs="宋体"/>
                <w:b/>
                <w:bCs/>
                <w:color w:val="auto"/>
                <w:kern w:val="2"/>
                <w:szCs w:val="21"/>
                <w:highlight w:val="none"/>
                <w:lang w:val="en-US" w:eastAsia="zh-CN"/>
              </w:rPr>
              <w:t>55</w:t>
            </w:r>
          </w:p>
        </w:tc>
        <w:tc>
          <w:tcPr>
            <w:tcW w:w="2663" w:type="dxa"/>
            <w:vAlign w:val="center"/>
          </w:tcPr>
          <w:p>
            <w:pPr>
              <w:widowControl w:val="0"/>
              <w:spacing w:line="360" w:lineRule="auto"/>
              <w:jc w:val="center"/>
              <w:outlineLvl w:val="9"/>
              <w:rPr>
                <w:rFonts w:hint="default" w:ascii="宋体" w:hAnsi="宋体" w:eastAsia="宋体" w:cs="宋体"/>
                <w:b/>
                <w:bCs/>
                <w:color w:val="auto"/>
                <w:kern w:val="2"/>
                <w:szCs w:val="21"/>
                <w:highlight w:val="none"/>
                <w:lang w:val="en-US" w:eastAsia="zh-CN"/>
              </w:rPr>
            </w:pPr>
            <w:r>
              <w:rPr>
                <w:rFonts w:hint="eastAsia" w:ascii="宋体" w:hAnsi="宋体" w:cs="宋体"/>
                <w:b/>
                <w:bCs/>
                <w:color w:val="auto"/>
                <w:kern w:val="2"/>
                <w:szCs w:val="21"/>
                <w:highlight w:val="none"/>
                <w:lang w:val="en-US" w:eastAsia="zh-CN"/>
              </w:rPr>
              <w:t>15</w:t>
            </w:r>
          </w:p>
        </w:tc>
        <w:tc>
          <w:tcPr>
            <w:tcW w:w="2458" w:type="dxa"/>
            <w:vAlign w:val="center"/>
          </w:tcPr>
          <w:p>
            <w:pPr>
              <w:widowControl w:val="0"/>
              <w:spacing w:line="360" w:lineRule="auto"/>
              <w:jc w:val="center"/>
              <w:outlineLvl w:val="9"/>
              <w:rPr>
                <w:rFonts w:ascii="宋体" w:hAnsi="宋体" w:cs="宋体"/>
                <w:b/>
                <w:bCs/>
                <w:color w:val="auto"/>
                <w:kern w:val="2"/>
                <w:szCs w:val="21"/>
                <w:highlight w:val="none"/>
              </w:rPr>
            </w:pPr>
            <w:r>
              <w:rPr>
                <w:rFonts w:hint="eastAsia" w:ascii="宋体" w:hAnsi="宋体" w:cs="宋体"/>
                <w:b/>
                <w:bCs/>
                <w:color w:val="auto"/>
                <w:kern w:val="2"/>
                <w:szCs w:val="21"/>
                <w:highlight w:val="none"/>
              </w:rPr>
              <w:t>30</w:t>
            </w:r>
          </w:p>
        </w:tc>
      </w:tr>
    </w:tbl>
    <w:p>
      <w:pPr>
        <w:numPr>
          <w:ilvl w:val="0"/>
          <w:numId w:val="0"/>
        </w:numPr>
        <w:spacing w:line="360" w:lineRule="auto"/>
        <w:outlineLvl w:val="9"/>
        <w:rPr>
          <w:rFonts w:ascii="宋体" w:hAnsi="宋体" w:cs="宋体"/>
          <w:b/>
          <w:color w:val="FF0000"/>
          <w:szCs w:val="21"/>
          <w:highlight w:val="none"/>
        </w:rPr>
      </w:pPr>
    </w:p>
    <w:p>
      <w:pPr>
        <w:numPr>
          <w:ilvl w:val="1"/>
          <w:numId w:val="8"/>
        </w:numPr>
        <w:spacing w:line="360" w:lineRule="auto"/>
        <w:outlineLvl w:val="9"/>
        <w:rPr>
          <w:rFonts w:ascii="宋体" w:hAnsi="宋体" w:cs="宋体"/>
          <w:b/>
          <w:color w:val="auto"/>
          <w:szCs w:val="21"/>
          <w:highlight w:val="none"/>
        </w:rPr>
      </w:pPr>
      <w:bookmarkStart w:id="326" w:name="OLE_LINK58"/>
      <w:r>
        <w:rPr>
          <w:rFonts w:hint="eastAsia" w:ascii="宋体" w:hAnsi="宋体" w:cs="宋体"/>
          <w:b/>
          <w:color w:val="auto"/>
          <w:szCs w:val="21"/>
          <w:highlight w:val="none"/>
          <w:lang w:val="en-US" w:eastAsia="zh-CN"/>
        </w:rPr>
        <w:t>评分表</w:t>
      </w:r>
    </w:p>
    <w:bookmarkEnd w:id="326"/>
    <w:tbl>
      <w:tblPr>
        <w:tblStyle w:val="4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Align w:val="center"/>
          </w:tcPr>
          <w:p>
            <w:pPr>
              <w:pStyle w:val="217"/>
              <w:jc w:val="center"/>
              <w:rPr>
                <w:rFonts w:hint="eastAsia" w:asciiTheme="minorEastAsia" w:hAnsiTheme="minorEastAsia" w:eastAsiaTheme="minorEastAsia" w:cstheme="minorEastAsia"/>
                <w:b/>
                <w:bCs/>
                <w:color w:val="auto"/>
                <w:sz w:val="21"/>
                <w:szCs w:val="21"/>
              </w:rPr>
            </w:pPr>
            <w:bookmarkStart w:id="327" w:name="OLE_LINK44" w:colFirst="0" w:colLast="1"/>
            <w:bookmarkStart w:id="328" w:name="OLE_LINK61" w:colFirst="0" w:colLast="2"/>
            <w:bookmarkStart w:id="329" w:name="OLE_LINK29"/>
            <w:r>
              <w:rPr>
                <w:rFonts w:hint="eastAsia" w:asciiTheme="minorEastAsia" w:hAnsiTheme="minorEastAsia" w:eastAsiaTheme="minorEastAsia" w:cstheme="minorEastAsia"/>
                <w:b/>
                <w:bCs/>
                <w:color w:val="auto"/>
                <w:sz w:val="21"/>
                <w:szCs w:val="21"/>
              </w:rPr>
              <w:t>评审因素</w:t>
            </w:r>
          </w:p>
        </w:tc>
        <w:tc>
          <w:tcPr>
            <w:tcW w:w="7383" w:type="dxa"/>
            <w:gridSpan w:val="2"/>
            <w:vAlign w:val="center"/>
          </w:tcPr>
          <w:p>
            <w:pPr>
              <w:pStyle w:val="21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评审标准</w:t>
            </w:r>
          </w:p>
        </w:tc>
      </w:tr>
      <w:bookmarkEnd w:id="327"/>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restart"/>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技术部分</w:t>
            </w: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技术参数响应程度 </w:t>
            </w:r>
            <w:bookmarkStart w:id="330" w:name="OLE_LINK39"/>
            <w:r>
              <w:rPr>
                <w:rFonts w:hint="eastAsia" w:asciiTheme="minorEastAsia" w:hAnsiTheme="minorEastAsia" w:eastAsiaTheme="minorEastAsia" w:cstheme="minorEastAsia"/>
                <w:color w:val="auto"/>
                <w:sz w:val="21"/>
                <w:szCs w:val="21"/>
              </w:rPr>
              <w:t>(</w:t>
            </w:r>
            <w:bookmarkEnd w:id="330"/>
            <w:r>
              <w:rPr>
                <w:rFonts w:hint="eastAsia" w:asciiTheme="minorEastAsia" w:hAnsiTheme="minorEastAsia" w:cstheme="minorEastAsia"/>
                <w:color w:val="auto"/>
                <w:sz w:val="21"/>
                <w:szCs w:val="21"/>
                <w:lang w:val="en-US" w:eastAsia="zh-CN"/>
              </w:rPr>
              <w:t>36.25</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w:t>
            </w:r>
            <w:bookmarkStart w:id="331" w:name="OLE_LINK37"/>
            <w:r>
              <w:rPr>
                <w:rFonts w:hint="eastAsia" w:asciiTheme="minorEastAsia" w:hAnsiTheme="minorEastAsia" w:eastAsiaTheme="minorEastAsia" w:cstheme="minorEastAsia"/>
                <w:color w:val="auto"/>
                <w:sz w:val="21"/>
                <w:szCs w:val="21"/>
              </w:rPr>
              <w:t>具体技术(参数)要求</w:t>
            </w:r>
            <w:bookmarkEnd w:id="331"/>
            <w:r>
              <w:rPr>
                <w:rFonts w:hint="eastAsia" w:asciiTheme="minorEastAsia" w:hAnsiTheme="minorEastAsia" w:eastAsiaTheme="minorEastAsia" w:cstheme="minorEastAsia"/>
                <w:color w:val="auto"/>
                <w:sz w:val="21"/>
                <w:szCs w:val="21"/>
              </w:rPr>
              <w:t>”中</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参数的响应程度进行评分，共计</w:t>
            </w:r>
            <w:r>
              <w:rPr>
                <w:rFonts w:hint="eastAsia" w:asciiTheme="minorEastAsia" w:hAnsi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项：每项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分，完全满足得</w:t>
            </w:r>
            <w:r>
              <w:rPr>
                <w:rFonts w:hint="eastAsia" w:asciiTheme="minorEastAsia" w:hAnsiTheme="minorEastAsia" w:cstheme="minorEastAsia"/>
                <w:color w:val="auto"/>
                <w:sz w:val="21"/>
                <w:szCs w:val="21"/>
                <w:lang w:val="en-US" w:eastAsia="zh-CN"/>
              </w:rPr>
              <w:t>36.25</w:t>
            </w:r>
            <w:r>
              <w:rPr>
                <w:rFonts w:hint="eastAsia" w:asciiTheme="minorEastAsia" w:hAnsiTheme="minorEastAsia" w:eastAsiaTheme="minorEastAsia" w:cstheme="minorEastAsia"/>
                <w:color w:val="auto"/>
                <w:sz w:val="21"/>
                <w:szCs w:val="21"/>
              </w:rPr>
              <w:t>分；每出现一项负偏离，扣</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分，最低得0分。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continue"/>
            <w:vAlign w:val="center"/>
          </w:tcPr>
          <w:p>
            <w:pPr>
              <w:rPr>
                <w:rFonts w:hint="eastAsia" w:asciiTheme="minorEastAsia" w:hAnsiTheme="minorEastAsia" w:eastAsiaTheme="minorEastAsia" w:cstheme="minorEastAsia"/>
                <w:color w:val="auto"/>
                <w:sz w:val="21"/>
                <w:szCs w:val="21"/>
              </w:rPr>
            </w:pP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所投货物配置、选型及技术水平 (</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由评委对各</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的货物配置、选型及技术水平进行评议及打分。 </w:t>
            </w:r>
          </w:p>
          <w:p>
            <w:pPr>
              <w:pStyle w:val="217"/>
              <w:numPr>
                <w:ilvl w:val="0"/>
                <w:numId w:val="0"/>
              </w:numPr>
              <w:jc w:val="left"/>
              <w:rPr>
                <w:rFonts w:hint="eastAsia" w:asciiTheme="minorEastAsia" w:hAnsiTheme="minorEastAsia" w:eastAsiaTheme="minorEastAsia" w:cstheme="minorEastAsia"/>
                <w:color w:val="auto"/>
                <w:sz w:val="21"/>
                <w:szCs w:val="21"/>
              </w:rPr>
            </w:pPr>
            <w:bookmarkStart w:id="332" w:name="OLE_LINK38"/>
            <w:r>
              <w:rPr>
                <w:rFonts w:hint="eastAsia" w:asciiTheme="minorEastAsia" w:hAnsiTheme="minorEastAsia" w:eastAsiaTheme="minorEastAsia" w:cstheme="minorEastAsia"/>
                <w:color w:val="auto"/>
                <w:sz w:val="21"/>
                <w:szCs w:val="21"/>
                <w:lang w:val="en-US" w:eastAsia="zh-CN"/>
              </w:rPr>
              <w:t>①</w:t>
            </w:r>
            <w:r>
              <w:rPr>
                <w:rFonts w:hint="eastAsia" w:asciiTheme="minorEastAsia" w:hAnsiTheme="minorEastAsia" w:eastAsiaTheme="minorEastAsia" w:cstheme="minorEastAsia"/>
                <w:color w:val="auto"/>
                <w:sz w:val="21"/>
                <w:szCs w:val="21"/>
              </w:rPr>
              <w:t>所投货物配置、选型及性能完全满足</w:t>
            </w:r>
            <w:r>
              <w:rPr>
                <w:rFonts w:hint="eastAsia" w:asciiTheme="minorEastAsia" w:hAnsiTheme="minorEastAsia" w:cstheme="minorEastAsia"/>
                <w:color w:val="auto"/>
                <w:sz w:val="21"/>
                <w:szCs w:val="21"/>
                <w:lang w:val="en-US" w:eastAsia="zh-CN"/>
              </w:rPr>
              <w:t>或优于</w:t>
            </w:r>
            <w:r>
              <w:rPr>
                <w:rFonts w:hint="eastAsia" w:asciiTheme="minorEastAsia" w:hAnsiTheme="minorEastAsia" w:eastAsiaTheme="minorEastAsia" w:cstheme="minorEastAsia"/>
                <w:color w:val="auto"/>
                <w:sz w:val="21"/>
                <w:szCs w:val="21"/>
              </w:rPr>
              <w:t>用户需求且有相关证明材料证明，技术水平先进、各项功能非常完善的，得</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②</w:t>
            </w:r>
            <w:r>
              <w:rPr>
                <w:rFonts w:hint="eastAsia" w:asciiTheme="minorEastAsia" w:hAnsiTheme="minorEastAsia" w:eastAsiaTheme="minorEastAsia" w:cstheme="minorEastAsia"/>
                <w:color w:val="auto"/>
                <w:sz w:val="21"/>
                <w:szCs w:val="21"/>
              </w:rPr>
              <w:t>所投货物配置、选型及性能基本满足用户需求且能提供一定证明材料，技术水平比较先进、各项功能比较完善的，得</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rPr>
            </w:pPr>
            <w:bookmarkStart w:id="333" w:name="OLE_LINK43"/>
            <w:r>
              <w:rPr>
                <w:rFonts w:hint="eastAsia" w:asciiTheme="minorEastAsia" w:hAnsiTheme="minorEastAsia" w:eastAsiaTheme="minorEastAsia" w:cstheme="minorEastAsia"/>
                <w:color w:val="auto"/>
                <w:sz w:val="21"/>
                <w:szCs w:val="21"/>
                <w:lang w:val="en-US" w:eastAsia="zh-CN"/>
              </w:rPr>
              <w:t>③</w:t>
            </w:r>
            <w:r>
              <w:rPr>
                <w:rFonts w:hint="eastAsia" w:asciiTheme="minorEastAsia" w:hAnsiTheme="minorEastAsia" w:eastAsiaTheme="minorEastAsia" w:cstheme="minorEastAsia"/>
                <w:color w:val="auto"/>
                <w:sz w:val="21"/>
                <w:szCs w:val="21"/>
              </w:rPr>
              <w:t>所投货物配置、选型及性能略有不足，总体技术水平比较普通、功能完善性一般的，得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w:t>
            </w:r>
            <w:r>
              <w:rPr>
                <w:rFonts w:hint="eastAsia" w:asciiTheme="minorEastAsia" w:hAnsiTheme="minorEastAsia" w:eastAsiaTheme="minorEastAsia" w:cstheme="minorEastAsia"/>
                <w:color w:val="auto"/>
                <w:sz w:val="21"/>
                <w:szCs w:val="21"/>
              </w:rPr>
              <w:t>所投货物配置、选型不合理，技术水平比较落后、功能不完善的，得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bookmarkEnd w:id="332"/>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（提供设备配置清单或体现技术水平的相关证明材料，如相关认证、技术说明书或有效检验报告等证明材料）。</w:t>
            </w:r>
            <w:bookmarkEnd w:id="333"/>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continue"/>
            <w:vAlign w:val="center"/>
          </w:tcPr>
          <w:p>
            <w:pPr>
              <w:rPr>
                <w:rFonts w:hint="eastAsia" w:asciiTheme="minorEastAsia" w:hAnsiTheme="minorEastAsia" w:eastAsiaTheme="minorEastAsia" w:cstheme="minorEastAsia"/>
                <w:color w:val="auto"/>
                <w:sz w:val="21"/>
                <w:szCs w:val="21"/>
              </w:rPr>
            </w:pP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调试、培训方案 (</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bookmarkStart w:id="334" w:name="OLE_LINK40"/>
            <w:r>
              <w:rPr>
                <w:rFonts w:hint="eastAsia" w:asciiTheme="minorEastAsia" w:hAnsiTheme="minorEastAsia" w:eastAsiaTheme="minorEastAsia" w:cstheme="minorEastAsia"/>
                <w:color w:val="auto"/>
                <w:sz w:val="21"/>
                <w:szCs w:val="21"/>
                <w:lang w:val="en-US" w:eastAsia="zh-CN"/>
              </w:rPr>
              <w:t xml:space="preserve">根据响应单位的安装、调试、培训方案（应包含具体的安装调试计划、安装步骤、安装调试人员安排、培训目标、培训师资、培训方式、培训内容，时间安排等）进行评分：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①设备安装、调试、培训方案有明确的计划和步骤，保障措施详细、合理可行满足或优于采购需求的，得6分；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②有较为详细的安装、调试、培训方案，方案内容较完整较可行，满足采购需求的，得4分；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③设备安装、调试、培训方案过于简单或不合理无保障的，部分满足采购需求的，得2分。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④安装、调试、培训的响应内容与采购需求存在较多不满足的，得1分。</w:t>
            </w:r>
            <w:bookmarkEnd w:id="334"/>
          </w:p>
          <w:p>
            <w:pPr>
              <w:pStyle w:val="217"/>
              <w:numPr>
                <w:ilvl w:val="0"/>
                <w:numId w:val="0"/>
              </w:numPr>
              <w:jc w:val="left"/>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⑤不提供安装、调试、培训方案，得0分。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continue"/>
            <w:vAlign w:val="center"/>
          </w:tcPr>
          <w:p>
            <w:pPr>
              <w:rPr>
                <w:rFonts w:hint="eastAsia" w:asciiTheme="minorEastAsia" w:hAnsiTheme="minorEastAsia" w:eastAsiaTheme="minorEastAsia" w:cstheme="minorEastAsia"/>
                <w:color w:val="auto"/>
                <w:sz w:val="21"/>
                <w:szCs w:val="21"/>
              </w:rPr>
            </w:pP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质量保证方案 </w:t>
            </w:r>
            <w:bookmarkStart w:id="335" w:name="OLE_LINK41"/>
            <w:r>
              <w:rPr>
                <w:rFonts w:hint="eastAsia" w:asciiTheme="minorEastAsia" w:hAnsiTheme="minorEastAsia" w:eastAsiaTheme="minorEastAsia" w:cstheme="minorEastAsia"/>
                <w:color w:val="auto"/>
                <w:sz w:val="21"/>
                <w:szCs w:val="21"/>
              </w:rPr>
              <w:t>(</w:t>
            </w:r>
            <w:bookmarkEnd w:id="335"/>
            <w:r>
              <w:rPr>
                <w:rFonts w:hint="eastAsia" w:asciiTheme="minorEastAsia" w:hAnsiTheme="minorEastAsia" w:cstheme="minorEastAsia"/>
                <w:color w:val="auto"/>
                <w:sz w:val="21"/>
                <w:szCs w:val="21"/>
                <w:lang w:val="en-US" w:eastAsia="zh-CN"/>
              </w:rPr>
              <w:t>4.75</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针对本项目制定的质量保证方案（包括但不仅限于质量目标、质量控制措施、质量保证体系及措施、质量保障管理及制度等内容）进行综合评分：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质量目标清晰明确，质量控制措施合理可行，质量保证体系系统科学、保证措施严谨规范，质量保障管理及制度权责分明、体系完整，质量保证方案各项内容均具备，并能根据项目性质或采购需求提出合理可行的建议，完全满足或优于采购需求，得</w:t>
            </w:r>
            <w:r>
              <w:rPr>
                <w:rFonts w:hint="eastAsia" w:asciiTheme="minorEastAsia" w:hAnsiTheme="minorEastAsia" w:cstheme="minorEastAsia"/>
                <w:color w:val="auto"/>
                <w:sz w:val="21"/>
                <w:szCs w:val="21"/>
                <w:lang w:val="en-US" w:eastAsia="zh-CN"/>
              </w:rPr>
              <w:t>4.75</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质量目标明确，质量控制措施合理可行，质量保证体系及保证措施规范，质量保障管理及制度权责分明，质量保证方案各项内容均具备，满足采购需求，但未能根据项目性质或采购需求提出合理可行的建议或者建议不完善，得</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③质量目标不明确，或质量控制措施、质量保证体系及保证措施和质量保障管理及制度方案不合理不可行，或质量保证方案部分内容有缺漏，或未能根据项目性质或采购需求提出合理可行的建议，部分满足采购需求，得1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w:t>
            </w:r>
            <w:r>
              <w:rPr>
                <w:rFonts w:hint="eastAsia" w:asciiTheme="minorEastAsia" w:hAnsiTheme="minorEastAsia" w:cstheme="minorEastAsia"/>
                <w:color w:val="auto"/>
                <w:sz w:val="21"/>
                <w:szCs w:val="21"/>
                <w:lang w:val="en-US" w:eastAsia="zh-CN"/>
              </w:rPr>
              <w:t>无提供质量保证方案</w:t>
            </w:r>
            <w:r>
              <w:rPr>
                <w:rFonts w:hint="eastAsia" w:asciiTheme="minorEastAsia" w:hAnsiTheme="minorEastAsia" w:eastAsiaTheme="minorEastAsia" w:cstheme="minorEastAsia"/>
                <w:color w:val="auto"/>
                <w:sz w:val="21"/>
                <w:szCs w:val="21"/>
              </w:rPr>
              <w:t>，得0分。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restart"/>
            <w:vAlign w:val="center"/>
          </w:tcPr>
          <w:p>
            <w:pPr>
              <w:pStyle w:val="2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商务部分</w:t>
            </w: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商务条款的响应情况 (</w:t>
            </w:r>
            <w:r>
              <w:rPr>
                <w:rFonts w:hint="eastAsia" w:asciiTheme="minorEastAsia" w:hAnsi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根据响应单位对采购需求中的“商务要求”（共计</w:t>
            </w:r>
            <w:bookmarkStart w:id="336" w:name="OLE_LINK17"/>
            <w:r>
              <w:rPr>
                <w:rFonts w:hint="eastAsia" w:asciiTheme="minorEastAsia" w:hAnsiTheme="minorEastAsia" w:cstheme="minorEastAsia"/>
                <w:color w:val="auto"/>
                <w:sz w:val="21"/>
                <w:szCs w:val="21"/>
                <w:lang w:val="en-US" w:eastAsia="zh-CN"/>
              </w:rPr>
              <w:t>18</w:t>
            </w:r>
            <w:bookmarkEnd w:id="336"/>
            <w:r>
              <w:rPr>
                <w:rFonts w:hint="eastAsia" w:asciiTheme="minorEastAsia" w:hAnsiTheme="minorEastAsia" w:eastAsiaTheme="minorEastAsia" w:cstheme="minorEastAsia"/>
                <w:color w:val="auto"/>
                <w:sz w:val="21"/>
                <w:szCs w:val="21"/>
              </w:rPr>
              <w:t>项）的响应程度进行评审，每项0.5分，完全满足得</w:t>
            </w:r>
            <w:r>
              <w:rPr>
                <w:rFonts w:hint="eastAsia" w:asciiTheme="minorEastAsia" w:hAnsi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分； 每出现一项负偏离，扣0.5分，最低得0分。 注：“付款方式”按1项计算。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continue"/>
            <w:vAlign w:val="center"/>
          </w:tcPr>
          <w:p>
            <w:pPr>
              <w:rPr>
                <w:rFonts w:hint="eastAsia" w:asciiTheme="minorEastAsia" w:hAnsiTheme="minorEastAsia" w:eastAsiaTheme="minorEastAsia" w:cstheme="minorEastAsia"/>
                <w:color w:val="auto"/>
                <w:sz w:val="21"/>
                <w:szCs w:val="21"/>
              </w:rPr>
            </w:pP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同类业绩 (</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bookmarkStart w:id="337" w:name="OLE_LINK51"/>
            <w:bookmarkStart w:id="338" w:name="OLE_LINK52"/>
            <w:r>
              <w:rPr>
                <w:rFonts w:hint="eastAsia" w:asciiTheme="minorEastAsia" w:hAnsiTheme="minorEastAsia" w:eastAsiaTheme="minorEastAsia" w:cstheme="minorEastAsia"/>
                <w:color w:val="auto"/>
                <w:sz w:val="21"/>
                <w:szCs w:val="21"/>
              </w:rPr>
              <w:t>2021年1月1日</w:t>
            </w:r>
            <w:r>
              <w:rPr>
                <w:rFonts w:hint="eastAsia" w:asciiTheme="minorEastAsia" w:hAnsiTheme="minorEastAsia" w:cstheme="minorEastAsia"/>
                <w:color w:val="auto"/>
                <w:sz w:val="21"/>
                <w:szCs w:val="21"/>
                <w:lang w:val="en-US" w:eastAsia="zh-CN"/>
              </w:rPr>
              <w:t>(合同签订时间为准）</w:t>
            </w:r>
            <w:bookmarkEnd w:id="337"/>
            <w:r>
              <w:rPr>
                <w:rFonts w:hint="eastAsia" w:asciiTheme="minorEastAsia" w:hAnsiTheme="minorEastAsia" w:cstheme="minorEastAsia"/>
                <w:color w:val="auto"/>
                <w:sz w:val="21"/>
                <w:szCs w:val="21"/>
                <w:lang w:val="en-US" w:eastAsia="zh-CN"/>
              </w:rPr>
              <w:t>以来</w:t>
            </w:r>
            <w:r>
              <w:rPr>
                <w:rFonts w:hint="eastAsia" w:asciiTheme="minorEastAsia" w:hAnsiTheme="minorEastAsia" w:eastAsiaTheme="minorEastAsia" w:cstheme="minorEastAsia"/>
                <w:color w:val="auto"/>
                <w:sz w:val="21"/>
                <w:szCs w:val="21"/>
              </w:rPr>
              <w:t>每份有效业绩得1分，最高不超过</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bookmarkEnd w:id="338"/>
          <w:p>
            <w:pPr>
              <w:pStyle w:val="217"/>
              <w:jc w:val="left"/>
              <w:rPr>
                <w:rFonts w:hint="eastAsia" w:asciiTheme="minorEastAsia" w:hAnsiTheme="minorEastAsia" w:eastAsiaTheme="minorEastAsia" w:cstheme="minorEastAsia"/>
                <w:color w:val="auto"/>
                <w:sz w:val="21"/>
                <w:szCs w:val="21"/>
              </w:rPr>
            </w:pPr>
            <w:bookmarkStart w:id="339" w:name="OLE_LINK42"/>
            <w:r>
              <w:rPr>
                <w:rFonts w:hint="eastAsia" w:asciiTheme="minorEastAsia" w:hAnsiTheme="minorEastAsia" w:eastAsiaTheme="minorEastAsia" w:cstheme="minorEastAsia"/>
                <w:color w:val="auto"/>
                <w:sz w:val="21"/>
                <w:szCs w:val="21"/>
              </w:rPr>
              <w:t>（有效业绩须同时满足以下条件：1.同类业绩是指与本项目所投产品一致且成交供应商为响应单位的业绩。</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2.需附上合同关键页复印件、中标通知书、成交通知书复印件其中一种并加盖供应商公司公章，否则不得分。）</w:t>
            </w:r>
            <w:bookmarkEnd w:id="339"/>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Merge w:val="continue"/>
            <w:vAlign w:val="center"/>
          </w:tcPr>
          <w:p>
            <w:pPr>
              <w:rPr>
                <w:rFonts w:hint="eastAsia" w:asciiTheme="minorEastAsia" w:hAnsiTheme="minorEastAsia" w:eastAsiaTheme="minorEastAsia" w:cstheme="minorEastAsia"/>
                <w:color w:val="auto"/>
                <w:sz w:val="21"/>
                <w:szCs w:val="21"/>
              </w:rPr>
            </w:pP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售后服务方案 (</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售后服务方案（方案应包括但不限于以下内容：①售后服务方案；②售后服务人员资质；③厂家技术支持；④技术升级服务；⑤提供备品备件服务；⑥设备易损配件的最优惠供应单价；⑦质保期满后的后续维修服务等内容）进行综合评价：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①售后服务方案包含上述所有内容且具体详细、合理可行，能为采购人提供全面保障的，完全满足或优于采购需求的，得</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②售后服务方案包含上述所有内容，较详细，合理性、可行性较好，能为采购人提供一定保障，满足采购需求的，得3分；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③售后服务方案中内容有小部分缺漏，合理性、可行性一般，保障性一般的，部分满足采购需求的，得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④售后服务方案过于简单，内容有大量缺漏或售后服务的响应内容与采购需求存在较多不满足的得</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p>
            <w:pPr>
              <w:pStyle w:val="217"/>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⑤</w:t>
            </w:r>
            <w:r>
              <w:rPr>
                <w:rFonts w:hint="eastAsia" w:asciiTheme="minorEastAsia" w:hAnsiTheme="minorEastAsia" w:cstheme="minorEastAsia"/>
                <w:color w:val="auto"/>
                <w:sz w:val="21"/>
                <w:szCs w:val="21"/>
                <w:lang w:val="en-US" w:eastAsia="zh-CN"/>
              </w:rPr>
              <w:t>无提供售后服务方案的，得0分。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81" w:type="dxa"/>
            <w:vAlign w:val="center"/>
          </w:tcPr>
          <w:p>
            <w:pPr>
              <w:pStyle w:val="2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w:t>
            </w:r>
          </w:p>
        </w:tc>
        <w:tc>
          <w:tcPr>
            <w:tcW w:w="2307"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报价得分 (30.0分)</w:t>
            </w:r>
          </w:p>
        </w:tc>
        <w:tc>
          <w:tcPr>
            <w:tcW w:w="5076"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价格分应当采用低价优先法计算，即满足</w:t>
            </w:r>
            <w:r>
              <w:rPr>
                <w:rFonts w:hint="eastAsia" w:asciiTheme="minorEastAsia" w:hAnsi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文件要求（通过资格性审查和符合性审查）且</w:t>
            </w:r>
            <w:r>
              <w:rPr>
                <w:rFonts w:hint="eastAsia" w:asciiTheme="minorEastAsia" w:hAnsiTheme="minorEastAsia" w:cstheme="minorEastAsia"/>
                <w:color w:val="auto"/>
                <w:sz w:val="21"/>
                <w:szCs w:val="21"/>
                <w:lang w:val="en-US" w:eastAsia="zh-CN"/>
              </w:rPr>
              <w:t>报价</w:t>
            </w:r>
            <w:r>
              <w:rPr>
                <w:rFonts w:hint="eastAsia" w:asciiTheme="minorEastAsia" w:hAnsiTheme="minorEastAsia" w:eastAsiaTheme="minorEastAsia" w:cstheme="minorEastAsia"/>
                <w:color w:val="auto"/>
                <w:sz w:val="21"/>
                <w:szCs w:val="21"/>
              </w:rPr>
              <w:t>最低的报价为评标基准价，其价格分为满分。其他</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的价格分统一按照下列公式计算：报价得分＝（评标基准价/</w:t>
            </w:r>
            <w:r>
              <w:rPr>
                <w:rFonts w:hint="eastAsia" w:asciiTheme="minorEastAsia" w:hAnsi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报价）×价格分值。</w:t>
            </w:r>
          </w:p>
        </w:tc>
      </w:tr>
      <w:bookmarkEnd w:id="328"/>
      <w:bookmarkEnd w:id="329"/>
    </w:tbl>
    <w:p>
      <w:pPr>
        <w:pStyle w:val="2"/>
        <w:outlineLvl w:val="9"/>
        <w:rPr>
          <w:rFonts w:hint="eastAsia" w:ascii="宋体" w:hAnsi="宋体" w:cs="宋体"/>
          <w:b/>
          <w:color w:val="FF0000"/>
          <w:szCs w:val="21"/>
          <w:highlight w:val="none"/>
          <w:lang w:val="en-US" w:eastAsia="zh-CN"/>
        </w:rPr>
      </w:pPr>
    </w:p>
    <w:p>
      <w:pPr>
        <w:numPr>
          <w:ilvl w:val="1"/>
          <w:numId w:val="8"/>
        </w:num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报价的错误修正原则</w:t>
      </w:r>
    </w:p>
    <w:p>
      <w:pPr>
        <w:numPr>
          <w:ilvl w:val="0"/>
          <w:numId w:val="9"/>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大写金额与小写金额不一致的，以大写金额为准；</w:t>
      </w:r>
    </w:p>
    <w:p>
      <w:pPr>
        <w:numPr>
          <w:ilvl w:val="0"/>
          <w:numId w:val="9"/>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pPr>
        <w:numPr>
          <w:ilvl w:val="0"/>
          <w:numId w:val="9"/>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单价金额小数点有明显错位的，应以总价为准，并修改单价；</w:t>
      </w:r>
    </w:p>
    <w:p>
      <w:pPr>
        <w:numPr>
          <w:ilvl w:val="0"/>
          <w:numId w:val="9"/>
        </w:numPr>
        <w:tabs>
          <w:tab w:val="left" w:pos="720"/>
        </w:tabs>
        <w:spacing w:line="360" w:lineRule="auto"/>
        <w:ind w:left="1084" w:leftChars="0" w:hanging="454" w:firstLineChars="0"/>
        <w:jc w:val="both"/>
        <w:outlineLvl w:val="9"/>
        <w:rPr>
          <w:rFonts w:ascii="宋体" w:hAnsi="宋体" w:cs="宋体"/>
          <w:color w:val="auto"/>
          <w:szCs w:val="21"/>
          <w:highlight w:val="none"/>
        </w:rPr>
      </w:pPr>
      <w:r>
        <w:rPr>
          <w:rFonts w:hint="eastAsia" w:ascii="宋体" w:hAnsi="宋体" w:cs="宋体"/>
          <w:color w:val="auto"/>
          <w:szCs w:val="21"/>
          <w:highlight w:val="none"/>
        </w:rPr>
        <w:t>修正价后的价格作为核实价。</w:t>
      </w:r>
    </w:p>
    <w:p>
      <w:pPr>
        <w:numPr>
          <w:ilvl w:val="1"/>
          <w:numId w:val="8"/>
        </w:numPr>
        <w:spacing w:line="360" w:lineRule="auto"/>
        <w:outlineLvl w:val="9"/>
        <w:rPr>
          <w:rFonts w:ascii="宋体" w:hAnsi="宋体" w:cs="宋体"/>
          <w:b/>
          <w:color w:val="auto"/>
          <w:szCs w:val="21"/>
          <w:highlight w:val="none"/>
        </w:rPr>
      </w:pPr>
      <w:r>
        <w:rPr>
          <w:rFonts w:hint="eastAsia" w:ascii="宋体" w:hAnsi="宋体" w:cs="宋体"/>
          <w:b/>
          <w:color w:val="auto"/>
          <w:szCs w:val="21"/>
          <w:highlight w:val="none"/>
        </w:rPr>
        <w:t>推荐</w:t>
      </w:r>
      <w:r>
        <w:rPr>
          <w:rFonts w:hint="eastAsia" w:ascii="宋体" w:hAnsi="宋体" w:cs="宋体"/>
          <w:b/>
          <w:color w:val="auto"/>
          <w:szCs w:val="21"/>
          <w:highlight w:val="none"/>
          <w:lang w:val="en-US" w:eastAsia="zh-CN"/>
        </w:rPr>
        <w:t>成交原则</w:t>
      </w:r>
    </w:p>
    <w:p>
      <w:pPr>
        <w:tabs>
          <w:tab w:val="left" w:pos="720"/>
        </w:tabs>
        <w:spacing w:line="360" w:lineRule="auto"/>
        <w:ind w:firstLine="420" w:firstLineChars="200"/>
        <w:jc w:val="both"/>
        <w:outlineLvl w:val="9"/>
        <w:rPr>
          <w:rFonts w:hint="eastAsia" w:ascii="宋体" w:hAnsi="宋体" w:cs="宋体"/>
          <w:b/>
          <w:color w:val="auto"/>
          <w:szCs w:val="21"/>
          <w:highlight w:val="none"/>
          <w:lang w:val="en-US" w:eastAsia="zh-CN"/>
        </w:rPr>
      </w:pPr>
      <w:r>
        <w:rPr>
          <w:rFonts w:hint="eastAsia" w:ascii="宋体" w:hAnsi="宋体" w:cs="宋体"/>
          <w:color w:val="auto"/>
          <w:szCs w:val="21"/>
          <w:highlight w:val="none"/>
        </w:rPr>
        <w:t>按各供应商综合得分由高到低顺序排列确定成交候选人，综合得分最高的响应供应商为第一成交候选人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以此类推</w:t>
      </w:r>
      <w:r>
        <w:rPr>
          <w:rFonts w:hint="eastAsia" w:ascii="宋体" w:hAnsi="宋体" w:cs="宋体"/>
          <w:color w:val="auto"/>
          <w:szCs w:val="21"/>
          <w:highlight w:val="none"/>
        </w:rPr>
        <w:t>。</w:t>
      </w:r>
    </w:p>
    <w:p>
      <w:pPr>
        <w:numPr>
          <w:ilvl w:val="1"/>
          <w:numId w:val="8"/>
        </w:numPr>
        <w:spacing w:line="360" w:lineRule="auto"/>
        <w:outlineLvl w:val="9"/>
        <w:rPr>
          <w:rFonts w:hint="eastAsia" w:ascii="宋体" w:hAnsi="宋体" w:cs="宋体"/>
          <w:b/>
          <w:color w:val="auto"/>
          <w:szCs w:val="21"/>
          <w:highlight w:val="none"/>
        </w:rPr>
      </w:pPr>
      <w:bookmarkStart w:id="340" w:name="_Toc101951268"/>
      <w:bookmarkStart w:id="341" w:name="_Toc101775130"/>
      <w:bookmarkStart w:id="342" w:name="_Toc101843130"/>
      <w:bookmarkStart w:id="343" w:name="_Toc101771377"/>
      <w:bookmarkStart w:id="344" w:name="_Toc6908"/>
      <w:bookmarkStart w:id="345" w:name="_Toc29764"/>
      <w:bookmarkStart w:id="346" w:name="_Toc2094498"/>
      <w:bookmarkStart w:id="347" w:name="_Toc2093359"/>
      <w:bookmarkStart w:id="348" w:name="_Toc14716"/>
      <w:bookmarkStart w:id="349" w:name="_Toc2592070"/>
      <w:r>
        <w:rPr>
          <w:rFonts w:hint="eastAsia" w:ascii="宋体" w:hAnsi="宋体" w:cs="宋体"/>
          <w:b/>
          <w:color w:val="auto"/>
          <w:szCs w:val="21"/>
          <w:highlight w:val="none"/>
        </w:rPr>
        <w:t>项目终止</w:t>
      </w:r>
      <w:bookmarkEnd w:id="340"/>
      <w:bookmarkEnd w:id="341"/>
      <w:bookmarkEnd w:id="342"/>
      <w:bookmarkEnd w:id="343"/>
      <w:r>
        <w:rPr>
          <w:rFonts w:hint="eastAsia" w:ascii="宋体" w:hAnsi="宋体" w:cs="宋体"/>
          <w:b/>
          <w:color w:val="auto"/>
          <w:szCs w:val="21"/>
          <w:highlight w:val="none"/>
        </w:rPr>
        <w:t>情况</w:t>
      </w:r>
      <w:bookmarkEnd w:id="344"/>
      <w:bookmarkEnd w:id="345"/>
      <w:bookmarkEnd w:id="346"/>
      <w:bookmarkEnd w:id="347"/>
      <w:bookmarkEnd w:id="348"/>
      <w:bookmarkEnd w:id="349"/>
    </w:p>
    <w:p>
      <w:pPr>
        <w:numPr>
          <w:ilvl w:val="0"/>
          <w:numId w:val="10"/>
        </w:numPr>
        <w:tabs>
          <w:tab w:val="left" w:pos="720"/>
        </w:tabs>
        <w:spacing w:line="360" w:lineRule="auto"/>
        <w:ind w:left="1084" w:leftChars="0" w:hanging="454" w:firstLineChars="0"/>
        <w:jc w:val="both"/>
        <w:outlineLvl w:val="9"/>
        <w:rPr>
          <w:rFonts w:hint="eastAsia" w:ascii="宋体" w:hAnsi="宋体" w:cs="宋体"/>
          <w:color w:val="auto"/>
          <w:szCs w:val="21"/>
          <w:highlight w:val="none"/>
        </w:rPr>
      </w:pPr>
      <w:bookmarkStart w:id="350" w:name="_Toc2093360"/>
      <w:bookmarkStart w:id="351" w:name="_Toc9113"/>
      <w:bookmarkStart w:id="352" w:name="_Toc2094499"/>
      <w:r>
        <w:rPr>
          <w:rFonts w:hint="eastAsia" w:ascii="宋体" w:hAnsi="宋体" w:cs="宋体"/>
          <w:color w:val="auto"/>
          <w:szCs w:val="21"/>
          <w:highlight w:val="none"/>
        </w:rPr>
        <w:t>因情况变化，不再符合规定的</w:t>
      </w:r>
      <w:r>
        <w:rPr>
          <w:rFonts w:hint="eastAsia" w:ascii="宋体" w:hAnsi="宋体" w:cs="宋体"/>
          <w:color w:val="auto"/>
          <w:szCs w:val="21"/>
          <w:highlight w:val="none"/>
          <w:lang w:val="en-US" w:eastAsia="zh-CN"/>
        </w:rPr>
        <w:t>院内</w:t>
      </w:r>
      <w:r>
        <w:rPr>
          <w:rFonts w:hint="eastAsia" w:ascii="宋体" w:hAnsi="宋体" w:cs="宋体"/>
          <w:color w:val="auto"/>
          <w:szCs w:val="21"/>
          <w:highlight w:val="none"/>
        </w:rPr>
        <w:t>竞争性磋商采购方式适用情形的；</w:t>
      </w:r>
      <w:bookmarkEnd w:id="350"/>
      <w:bookmarkEnd w:id="351"/>
      <w:bookmarkEnd w:id="352"/>
      <w:r>
        <w:rPr>
          <w:rFonts w:hint="eastAsia" w:ascii="宋体" w:hAnsi="宋体" w:cs="宋体"/>
          <w:color w:val="auto"/>
          <w:szCs w:val="21"/>
          <w:highlight w:val="none"/>
        </w:rPr>
        <w:t xml:space="preserve"> </w:t>
      </w:r>
    </w:p>
    <w:p>
      <w:pPr>
        <w:numPr>
          <w:ilvl w:val="0"/>
          <w:numId w:val="10"/>
        </w:numPr>
        <w:tabs>
          <w:tab w:val="left" w:pos="720"/>
        </w:tabs>
        <w:spacing w:line="360" w:lineRule="auto"/>
        <w:ind w:left="1084" w:leftChars="0" w:hanging="454" w:firstLineChars="0"/>
        <w:jc w:val="both"/>
        <w:outlineLvl w:val="9"/>
        <w:rPr>
          <w:rFonts w:hint="eastAsia" w:ascii="宋体" w:hAnsi="宋体" w:cs="宋体"/>
          <w:color w:val="auto"/>
          <w:szCs w:val="21"/>
          <w:highlight w:val="none"/>
        </w:rPr>
      </w:pPr>
      <w:bookmarkStart w:id="353" w:name="_Toc7600"/>
      <w:bookmarkStart w:id="354" w:name="_Toc2093361"/>
      <w:bookmarkStart w:id="355" w:name="_Toc2094500"/>
      <w:r>
        <w:rPr>
          <w:rFonts w:hint="eastAsia" w:ascii="宋体" w:hAnsi="宋体" w:cs="宋体"/>
          <w:color w:val="auto"/>
          <w:szCs w:val="21"/>
          <w:highlight w:val="none"/>
        </w:rPr>
        <w:t>出现影响采购公正的违法、违规行为的；</w:t>
      </w:r>
      <w:bookmarkEnd w:id="353"/>
      <w:bookmarkEnd w:id="354"/>
      <w:bookmarkEnd w:id="355"/>
      <w:r>
        <w:rPr>
          <w:rFonts w:hint="eastAsia" w:ascii="宋体" w:hAnsi="宋体" w:cs="宋体"/>
          <w:color w:val="auto"/>
          <w:szCs w:val="21"/>
          <w:highlight w:val="none"/>
        </w:rPr>
        <w:t xml:space="preserve"> </w:t>
      </w:r>
    </w:p>
    <w:p>
      <w:pPr>
        <w:numPr>
          <w:ilvl w:val="0"/>
          <w:numId w:val="10"/>
        </w:numPr>
        <w:tabs>
          <w:tab w:val="left" w:pos="720"/>
        </w:tabs>
        <w:spacing w:line="360" w:lineRule="auto"/>
        <w:ind w:left="1084" w:leftChars="0" w:hanging="454" w:firstLineChars="0"/>
        <w:jc w:val="both"/>
        <w:outlineLvl w:val="9"/>
        <w:rPr>
          <w:rFonts w:hint="eastAsia" w:ascii="宋体" w:hAnsi="宋体" w:cs="宋体"/>
          <w:color w:val="auto"/>
          <w:szCs w:val="21"/>
          <w:highlight w:val="none"/>
        </w:rPr>
      </w:pPr>
      <w:r>
        <w:rPr>
          <w:rFonts w:hint="eastAsia" w:ascii="宋体" w:hAnsi="宋体" w:cs="宋体"/>
          <w:color w:val="auto"/>
          <w:szCs w:val="21"/>
          <w:highlight w:val="none"/>
        </w:rPr>
        <w:t>在采购过程中符合要求的供应商或者报价未超过采购预算的供应商不足3家的</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56" w:name="_Toc2094514"/>
      <w:bookmarkStart w:id="357" w:name="_Toc101771380"/>
      <w:bookmarkStart w:id="358" w:name="_Toc101843133"/>
      <w:bookmarkStart w:id="359" w:name="_Toc101775133"/>
      <w:bookmarkStart w:id="360" w:name="_Toc101951271"/>
      <w:bookmarkStart w:id="361" w:name="_Toc22665"/>
      <w:bookmarkStart w:id="362" w:name="_Toc15587"/>
      <w:bookmarkStart w:id="363" w:name="_Toc3924"/>
      <w:bookmarkStart w:id="364" w:name="_Toc18205"/>
      <w:bookmarkStart w:id="365" w:name="_Toc29386_WPSOffice_Level1"/>
      <w:bookmarkStart w:id="366" w:name="_Toc12895"/>
      <w:r>
        <w:rPr>
          <w:rFonts w:hint="eastAsia" w:ascii="宋体" w:hAnsi="宋体" w:cs="宋体"/>
          <w:color w:val="auto"/>
          <w:szCs w:val="21"/>
          <w:highlight w:val="none"/>
          <w:lang w:eastAsia="zh-CN"/>
        </w:rPr>
        <w:t>。</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spacing w:before="0" w:after="0" w:line="480" w:lineRule="auto"/>
        <w:jc w:val="center"/>
        <w:outlineLvl w:val="0"/>
        <w:rPr>
          <w:rFonts w:hint="eastAsia" w:ascii="宋体" w:hAnsi="宋体" w:cs="宋体"/>
          <w:color w:val="FF0000"/>
          <w:szCs w:val="21"/>
          <w:highlight w:val="none"/>
        </w:rPr>
      </w:pPr>
      <w:r>
        <w:rPr>
          <w:rFonts w:hint="eastAsia" w:ascii="宋体" w:hAnsi="宋体" w:cs="宋体"/>
          <w:color w:val="auto"/>
          <w:sz w:val="30"/>
          <w:szCs w:val="30"/>
          <w:highlight w:val="none"/>
        </w:rPr>
        <w:t xml:space="preserve">第五章 </w:t>
      </w:r>
      <w:bookmarkStart w:id="367" w:name="_Toc38947808"/>
      <w:bookmarkStart w:id="368" w:name="_Toc40762376"/>
      <w:bookmarkStart w:id="369" w:name="_Toc41884708"/>
      <w:bookmarkStart w:id="370" w:name="_Toc42313174"/>
      <w:bookmarkStart w:id="371" w:name="_Toc41723938"/>
      <w:r>
        <w:rPr>
          <w:rFonts w:hint="eastAsia" w:ascii="宋体" w:hAnsi="宋体" w:cs="宋体"/>
          <w:color w:val="auto"/>
          <w:sz w:val="30"/>
          <w:szCs w:val="30"/>
          <w:highlight w:val="none"/>
        </w:rPr>
        <w:t>响应文件</w:t>
      </w:r>
      <w:bookmarkEnd w:id="356"/>
      <w:bookmarkEnd w:id="357"/>
      <w:bookmarkEnd w:id="358"/>
      <w:bookmarkEnd w:id="359"/>
      <w:bookmarkEnd w:id="360"/>
      <w:bookmarkEnd w:id="361"/>
      <w:bookmarkEnd w:id="367"/>
      <w:bookmarkEnd w:id="368"/>
      <w:bookmarkEnd w:id="369"/>
      <w:bookmarkEnd w:id="370"/>
      <w:bookmarkEnd w:id="371"/>
      <w:r>
        <w:rPr>
          <w:rFonts w:hint="eastAsia" w:ascii="宋体" w:hAnsi="宋体" w:cs="宋体"/>
          <w:color w:val="auto"/>
          <w:sz w:val="30"/>
          <w:szCs w:val="30"/>
          <w:highlight w:val="none"/>
          <w:lang w:val="en-US" w:eastAsia="zh-CN"/>
        </w:rPr>
        <w:t>要求</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62"/>
      <w:bookmarkEnd w:id="363"/>
      <w:bookmarkEnd w:id="364"/>
      <w:bookmarkEnd w:id="365"/>
      <w:bookmarkEnd w:id="366"/>
    </w:p>
    <w:p>
      <w:pPr>
        <w:pStyle w:val="25"/>
        <w:keepNext w:val="0"/>
        <w:keepLines w:val="0"/>
        <w:pageBreakBefore w:val="0"/>
        <w:widowControl/>
        <w:numPr>
          <w:ilvl w:val="0"/>
          <w:numId w:val="11"/>
        </w:numPr>
        <w:tabs>
          <w:tab w:val="left" w:pos="1260"/>
        </w:tabs>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rPr>
        <w:t>响应文件数量</w:t>
      </w:r>
    </w:p>
    <w:p>
      <w:pPr>
        <w:pStyle w:val="25"/>
        <w:keepNext w:val="0"/>
        <w:keepLines w:val="0"/>
        <w:pageBreakBefore w:val="0"/>
        <w:widowControl/>
        <w:numPr>
          <w:ilvl w:val="0"/>
          <w:numId w:val="0"/>
        </w:numPr>
        <w:tabs>
          <w:tab w:val="left" w:pos="1260"/>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b w:val="0"/>
          <w:bCs/>
          <w:color w:val="FF0000"/>
          <w:szCs w:val="21"/>
          <w:highlight w:val="none"/>
        </w:rPr>
      </w:pPr>
      <w:r>
        <w:rPr>
          <w:rFonts w:hint="eastAsia" w:ascii="宋体" w:hAnsi="宋体" w:cs="宋体"/>
          <w:b w:val="0"/>
          <w:bCs/>
          <w:color w:val="FF0000"/>
          <w:szCs w:val="21"/>
          <w:highlight w:val="none"/>
        </w:rPr>
        <w:t>正本1份，副本3份，电子文档1份（电子文件要求U盘</w:t>
      </w:r>
      <w:r>
        <w:rPr>
          <w:rFonts w:hint="eastAsia" w:ascii="宋体" w:hAnsi="宋体" w:cs="宋体"/>
          <w:b w:val="0"/>
          <w:bCs/>
          <w:color w:val="FF0000"/>
          <w:szCs w:val="21"/>
          <w:highlight w:val="none"/>
          <w:lang w:val="en-US" w:eastAsia="zh-CN"/>
        </w:rPr>
        <w:t>为介质</w:t>
      </w:r>
      <w:r>
        <w:rPr>
          <w:rFonts w:hint="eastAsia" w:ascii="宋体" w:hAnsi="宋体" w:cs="宋体"/>
          <w:b w:val="0"/>
          <w:bCs/>
          <w:color w:val="FF0000"/>
          <w:szCs w:val="21"/>
          <w:highlight w:val="none"/>
        </w:rPr>
        <w:t>， WORD格式</w:t>
      </w:r>
      <w:r>
        <w:rPr>
          <w:rFonts w:hint="eastAsia" w:ascii="宋体" w:hAnsi="宋体" w:cs="宋体"/>
          <w:b w:val="0"/>
          <w:bCs/>
          <w:color w:val="FF0000"/>
          <w:szCs w:val="21"/>
          <w:highlight w:val="none"/>
          <w:lang w:val="en-US" w:eastAsia="zh-CN"/>
        </w:rPr>
        <w:t>和盖章版PDF版格式，</w:t>
      </w:r>
      <w:r>
        <w:rPr>
          <w:rFonts w:hint="eastAsia" w:ascii="宋体" w:hAnsi="宋体" w:cs="宋体"/>
          <w:b w:val="0"/>
          <w:bCs/>
          <w:color w:val="FF0000"/>
          <w:szCs w:val="21"/>
          <w:highlight w:val="none"/>
        </w:rPr>
        <w:t>不留密码，无病毒</w:t>
      </w:r>
      <w:r>
        <w:rPr>
          <w:rFonts w:hint="eastAsia" w:hAnsi="宋体" w:cs="宋体"/>
          <w:b w:val="0"/>
          <w:bCs/>
          <w:color w:val="FF0000"/>
          <w:szCs w:val="21"/>
          <w:highlight w:val="none"/>
          <w:lang w:eastAsia="zh-CN"/>
        </w:rPr>
        <w:t>。</w:t>
      </w:r>
      <w:r>
        <w:rPr>
          <w:rFonts w:hint="eastAsia" w:ascii="宋体" w:hAnsi="宋体" w:cs="宋体"/>
          <w:b w:val="0"/>
          <w:bCs/>
          <w:color w:val="FF0000"/>
          <w:szCs w:val="21"/>
          <w:highlight w:val="none"/>
        </w:rPr>
        <w:t>）</w:t>
      </w:r>
    </w:p>
    <w:p>
      <w:pPr>
        <w:pStyle w:val="25"/>
        <w:keepNext w:val="0"/>
        <w:keepLines w:val="0"/>
        <w:pageBreakBefore w:val="0"/>
        <w:widowControl/>
        <w:numPr>
          <w:ilvl w:val="0"/>
          <w:numId w:val="11"/>
        </w:numPr>
        <w:tabs>
          <w:tab w:val="left" w:pos="1260"/>
        </w:tabs>
        <w:kinsoku/>
        <w:wordWrap/>
        <w:overflowPunct/>
        <w:topLinePunct w:val="0"/>
        <w:autoSpaceDE/>
        <w:autoSpaceDN/>
        <w:bidi w:val="0"/>
        <w:adjustRightInd/>
        <w:snapToGrid/>
        <w:spacing w:line="360" w:lineRule="auto"/>
        <w:jc w:val="left"/>
        <w:textAlignment w:val="auto"/>
        <w:outlineLvl w:val="9"/>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响应文件</w:t>
      </w:r>
      <w:r>
        <w:rPr>
          <w:rFonts w:hint="eastAsia" w:hAnsi="宋体" w:cs="宋体"/>
          <w:b/>
          <w:bCs/>
          <w:color w:val="auto"/>
          <w:szCs w:val="21"/>
          <w:highlight w:val="none"/>
          <w:lang w:val="en-US" w:eastAsia="zh-CN"/>
        </w:rPr>
        <w:t>装订要求</w:t>
      </w:r>
      <w:r>
        <w:rPr>
          <w:rFonts w:hint="eastAsia" w:ascii="宋体" w:hAnsi="宋体" w:cs="宋体"/>
          <w:b/>
          <w:bCs/>
          <w:color w:val="auto"/>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 xml:space="preserve">响应文件除封面外，其他材料须双面打印，确保所提供响应文件资料一定要真实、完整、清晰可辨，响应文件模糊不清、难以辨认，视为未提供处理，由此造成不能进入评审环节等严重后果由供应商自行负责。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响应文件要求装订成册</w:t>
      </w:r>
      <w:bookmarkStart w:id="372" w:name="_Toc2094448"/>
      <w:bookmarkStart w:id="373" w:name="_Toc30290"/>
      <w:bookmarkStart w:id="374" w:name="_Toc2093309"/>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编</w:t>
      </w:r>
      <w:r>
        <w:rPr>
          <w:rFonts w:hint="eastAsia" w:ascii="宋体" w:hAnsi="宋体" w:eastAsia="宋体" w:cs="宋体"/>
          <w:color w:val="auto"/>
          <w:sz w:val="21"/>
          <w:szCs w:val="21"/>
          <w:lang w:val="en-US" w:eastAsia="zh-CN"/>
        </w:rPr>
        <w:t>写</w:t>
      </w:r>
      <w:r>
        <w:rPr>
          <w:rFonts w:hint="eastAsia" w:ascii="宋体" w:hAnsi="宋体" w:eastAsia="宋体" w:cs="宋体"/>
          <w:color w:val="auto"/>
          <w:sz w:val="21"/>
          <w:szCs w:val="21"/>
        </w:rPr>
        <w:t>页码</w:t>
      </w:r>
      <w:bookmarkEnd w:id="372"/>
      <w:bookmarkEnd w:id="373"/>
      <w:bookmarkEnd w:id="374"/>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装订牢固不可拆卸（如：胶订），如因装订不牢固导致的任何损失由供应商承担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除特殊规格的图纸等外应按A4规格制作。</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 xml:space="preserve">.响应文件封面应注明“正本”、“副本”字样并加盖公章、装订成册，副本可用正本复印并在封面上加盖公章。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 xml:space="preserve">.所有响应文件须密封在一个不透明的外层封装中；并在封口位置处加盖公章，如因响应文件未密封导致不能进入磋商环节者，一切后果由供应商自负。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 xml:space="preserve">.报名时提供的资料与响应文件不一致时以响应文件为准。 </w:t>
      </w:r>
    </w:p>
    <w:p>
      <w:pPr>
        <w:pStyle w:val="25"/>
        <w:keepNext w:val="0"/>
        <w:keepLines w:val="0"/>
        <w:pageBreakBefore w:val="0"/>
        <w:widowControl/>
        <w:tabs>
          <w:tab w:val="left" w:pos="1260"/>
        </w:tabs>
        <w:kinsoku/>
        <w:wordWrap/>
        <w:overflowPunct/>
        <w:topLinePunct w:val="0"/>
        <w:autoSpaceDE/>
        <w:autoSpaceDN/>
        <w:bidi w:val="0"/>
        <w:adjustRightInd/>
        <w:snapToGrid/>
        <w:spacing w:line="360" w:lineRule="auto"/>
        <w:jc w:val="left"/>
        <w:textAlignment w:val="auto"/>
        <w:outlineLvl w:val="9"/>
        <w:rPr>
          <w:rFonts w:hint="eastAsia"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三、响应文件需包含的内容</w:t>
      </w:r>
      <w:r>
        <w:rPr>
          <w:rFonts w:hint="eastAsia" w:hAnsi="宋体" w:cs="宋体"/>
          <w:b/>
          <w:bCs/>
          <w:color w:val="auto"/>
          <w:szCs w:val="21"/>
          <w:highlight w:val="none"/>
          <w:lang w:val="en-US" w:eastAsia="zh-CN"/>
        </w:rPr>
        <w:t>：</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封面</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报价单</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评分自查表</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用户需求偏离表</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医疗器械注册证等文件</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业绩一览表</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安装调试、培训方案 （格式自拟）</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质量保证方案（格式自拟）</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售后服务方案（格式自拟）</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供应商营业执照（提供复印件）</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供应商法定代表人资格证明书</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供应商法定代表人授权委托书</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具有良好的商业信誉和健全的财务会计制度的声明函（格式自拟）</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有依法缴纳税收和社会保障资金的良好记录的声明函（格式自拟)</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具有履行合同所必需的设备和专业技术能力的声明函（格式自拟）</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的查询截图。</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提供参加本次采购活动前3年内在经营活动中没有重大违法记录的声明函（格式自拟）</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不是为本项目提供整体设计、规范编制或者项目管理、监理、检测等服务的供应商的声明函（格式自拟）</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rFonts w:hint="eastAsia"/>
          <w:sz w:val="21"/>
          <w:szCs w:val="21"/>
          <w:lang w:val="en-US" w:eastAsia="zh-CN"/>
        </w:rPr>
      </w:pPr>
      <w:r>
        <w:rPr>
          <w:rFonts w:hint="eastAsia"/>
          <w:sz w:val="21"/>
          <w:szCs w:val="21"/>
          <w:lang w:val="en-US" w:eastAsia="zh-CN"/>
        </w:rPr>
        <w:t>单位负责人为同一人或者存在控股、管理关系的不同单位，不同时参加本项目的声明函。（格式自拟）</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sz w:val="21"/>
          <w:szCs w:val="21"/>
        </w:rPr>
      </w:pPr>
      <w:r>
        <w:rPr>
          <w:rFonts w:hint="eastAsia"/>
          <w:sz w:val="21"/>
          <w:szCs w:val="21"/>
          <w:lang w:val="en-US" w:eastAsia="zh-CN"/>
        </w:rPr>
        <w:t>不是联合体响应，不分包、转包的声明函。（格式自拟）</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sz w:val="21"/>
          <w:szCs w:val="21"/>
        </w:rPr>
      </w:pPr>
      <w:r>
        <w:rPr>
          <w:rFonts w:hint="eastAsia"/>
          <w:sz w:val="21"/>
          <w:szCs w:val="21"/>
        </w:rPr>
        <w:t>公平竞争承诺书</w:t>
      </w:r>
      <w:r>
        <w:rPr>
          <w:rFonts w:hint="eastAsia"/>
          <w:sz w:val="21"/>
          <w:szCs w:val="21"/>
          <w:lang w:eastAsia="zh-CN"/>
        </w:rPr>
        <w:t>（</w:t>
      </w:r>
      <w:r>
        <w:rPr>
          <w:rFonts w:hint="eastAsia"/>
          <w:sz w:val="21"/>
          <w:szCs w:val="21"/>
          <w:lang w:val="en-US" w:eastAsia="zh-CN"/>
        </w:rPr>
        <w:t>模版</w:t>
      </w:r>
      <w:r>
        <w:rPr>
          <w:sz w:val="21"/>
          <w:szCs w:val="21"/>
        </w:rPr>
        <w:t>详见相关格式文件</w:t>
      </w:r>
      <w:r>
        <w:rPr>
          <w:rFonts w:hint="eastAsia"/>
          <w:sz w:val="21"/>
          <w:szCs w:val="21"/>
          <w:lang w:eastAsia="zh-CN"/>
        </w:rPr>
        <w:t>）</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sz w:val="21"/>
          <w:szCs w:val="21"/>
        </w:rPr>
      </w:pPr>
      <w:r>
        <w:rPr>
          <w:rFonts w:hint="eastAsia"/>
          <w:sz w:val="21"/>
          <w:szCs w:val="21"/>
        </w:rPr>
        <w:t>无专机专用耗材的承诺函（适用于无专机专用耗材设备）</w:t>
      </w:r>
    </w:p>
    <w:p>
      <w:pPr>
        <w:pStyle w:val="44"/>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auto"/>
        <w:ind w:left="874" w:leftChars="0" w:right="0" w:rightChars="0" w:hanging="454" w:firstLineChars="0"/>
        <w:jc w:val="both"/>
        <w:textAlignment w:val="auto"/>
        <w:outlineLvl w:val="9"/>
        <w:rPr>
          <w:sz w:val="21"/>
          <w:szCs w:val="21"/>
        </w:rPr>
      </w:pPr>
      <w:r>
        <w:rPr>
          <w:rFonts w:hint="eastAsia"/>
          <w:sz w:val="21"/>
          <w:szCs w:val="21"/>
        </w:rPr>
        <w:t>响应单位认为需补充的相关资格文件或证明</w:t>
      </w:r>
      <w:r>
        <w:rPr>
          <w:rFonts w:hint="eastAsia"/>
          <w:sz w:val="21"/>
          <w:szCs w:val="21"/>
          <w:lang w:val="en-US" w:eastAsia="zh-CN"/>
        </w:rPr>
        <w:t>（格式自拟）</w:t>
      </w:r>
    </w:p>
    <w:p>
      <w:pPr>
        <w:pStyle w:val="2"/>
        <w:outlineLvl w:val="9"/>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5"/>
        <w:spacing w:before="0" w:after="0" w:line="480" w:lineRule="auto"/>
        <w:jc w:val="center"/>
        <w:outlineLvl w:val="0"/>
        <w:rPr>
          <w:rFonts w:hint="default" w:ascii="宋体" w:hAnsi="宋体" w:eastAsia="宋体" w:cs="宋体"/>
          <w:color w:val="FF0000"/>
          <w:szCs w:val="21"/>
          <w:highlight w:val="none"/>
          <w:lang w:val="en-US" w:eastAsia="zh-CN"/>
        </w:rPr>
      </w:pPr>
      <w:r>
        <w:rPr>
          <w:rFonts w:hint="eastAsia" w:ascii="宋体" w:hAnsi="宋体" w:cs="宋体"/>
          <w:color w:val="auto"/>
          <w:sz w:val="30"/>
          <w:szCs w:val="30"/>
          <w:highlight w:val="none"/>
        </w:rPr>
        <w:t>第</w:t>
      </w:r>
      <w:r>
        <w:rPr>
          <w:rFonts w:hint="eastAsia" w:ascii="宋体" w:hAnsi="宋体" w:cs="宋体"/>
          <w:color w:val="auto"/>
          <w:sz w:val="30"/>
          <w:szCs w:val="30"/>
          <w:highlight w:val="none"/>
          <w:lang w:val="en-US" w:eastAsia="zh-CN"/>
        </w:rPr>
        <w:t>六</w:t>
      </w:r>
      <w:r>
        <w:rPr>
          <w:rFonts w:hint="eastAsia" w:ascii="宋体" w:hAnsi="宋体" w:cs="宋体"/>
          <w:color w:val="auto"/>
          <w:sz w:val="30"/>
          <w:szCs w:val="30"/>
          <w:highlight w:val="none"/>
        </w:rPr>
        <w:t xml:space="preserve">章 </w:t>
      </w:r>
      <w:r>
        <w:rPr>
          <w:rFonts w:hint="eastAsia" w:ascii="宋体" w:hAnsi="宋体" w:cs="宋体"/>
          <w:color w:val="auto"/>
          <w:sz w:val="30"/>
          <w:szCs w:val="30"/>
          <w:highlight w:val="none"/>
          <w:lang w:val="en-US" w:eastAsia="zh-CN"/>
        </w:rPr>
        <w:t>相关格式模版</w:t>
      </w: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pStyle w:val="44"/>
        <w:keepNext w:val="0"/>
        <w:keepLines w:val="0"/>
        <w:widowControl/>
        <w:suppressLineNumbers w:val="0"/>
        <w:spacing w:before="0" w:beforeAutospacing="1" w:after="0" w:afterAutospacing="1"/>
        <w:ind w:left="0" w:right="0" w:firstLine="703"/>
        <w:jc w:val="center"/>
      </w:pPr>
    </w:p>
    <w:p>
      <w:pPr>
        <w:pStyle w:val="44"/>
        <w:keepNext w:val="0"/>
        <w:keepLines w:val="0"/>
        <w:widowControl/>
        <w:suppressLineNumbers w:val="0"/>
        <w:spacing w:before="0" w:beforeAutospacing="1" w:after="0" w:afterAutospacing="1"/>
        <w:ind w:right="0"/>
        <w:jc w:val="center"/>
      </w:pPr>
      <w:r>
        <w:rPr>
          <w:b/>
          <w:sz w:val="52"/>
          <w:szCs w:val="52"/>
        </w:rPr>
        <w:t>**********项目</w:t>
      </w:r>
    </w:p>
    <w:p>
      <w:pPr>
        <w:pStyle w:val="44"/>
        <w:keepNext w:val="0"/>
        <w:keepLines w:val="0"/>
        <w:widowControl/>
        <w:suppressLineNumbers w:val="0"/>
        <w:spacing w:before="0" w:beforeAutospacing="1" w:after="0" w:afterAutospacing="1" w:line="36" w:lineRule="atLeast"/>
        <w:ind w:left="0" w:right="0" w:firstLine="703"/>
        <w:jc w:val="center"/>
      </w:pPr>
    </w:p>
    <w:p>
      <w:pPr>
        <w:pStyle w:val="44"/>
        <w:keepNext w:val="0"/>
        <w:keepLines w:val="0"/>
        <w:widowControl/>
        <w:suppressLineNumbers w:val="0"/>
        <w:spacing w:before="0" w:beforeAutospacing="1" w:after="0" w:afterAutospacing="1" w:line="36" w:lineRule="atLeast"/>
        <w:ind w:left="0" w:right="0" w:firstLine="1807"/>
        <w:jc w:val="center"/>
      </w:pPr>
    </w:p>
    <w:p>
      <w:pPr>
        <w:pStyle w:val="44"/>
        <w:keepNext w:val="0"/>
        <w:keepLines w:val="0"/>
        <w:widowControl/>
        <w:suppressLineNumbers w:val="0"/>
        <w:spacing w:before="0" w:beforeAutospacing="1" w:after="0" w:afterAutospacing="1" w:line="36" w:lineRule="atLeast"/>
        <w:ind w:right="0"/>
        <w:jc w:val="center"/>
      </w:pPr>
      <w:r>
        <w:rPr>
          <w:b/>
          <w:sz w:val="72"/>
          <w:szCs w:val="72"/>
        </w:rPr>
        <w:t>响应文件</w:t>
      </w:r>
    </w:p>
    <w:p>
      <w:pPr>
        <w:pStyle w:val="25"/>
        <w:spacing w:line="360" w:lineRule="auto"/>
        <w:jc w:val="center"/>
        <w:outlineLvl w:val="9"/>
        <w:rPr>
          <w:rFonts w:hAnsi="宋体" w:cs="宋体"/>
          <w:b/>
          <w:color w:val="auto"/>
          <w:sz w:val="28"/>
          <w:szCs w:val="28"/>
          <w:highlight w:val="none"/>
        </w:rPr>
      </w:pPr>
      <w:r>
        <w:rPr>
          <w:rFonts w:hint="eastAsia" w:hAnsi="宋体" w:cs="宋体"/>
          <w:b/>
          <w:color w:val="auto"/>
          <w:sz w:val="28"/>
          <w:szCs w:val="28"/>
          <w:highlight w:val="none"/>
        </w:rPr>
        <w:t>（正本/副本）</w:t>
      </w:r>
    </w:p>
    <w:p>
      <w:pPr>
        <w:pStyle w:val="44"/>
        <w:keepNext w:val="0"/>
        <w:keepLines w:val="0"/>
        <w:widowControl/>
        <w:suppressLineNumbers w:val="0"/>
        <w:spacing w:before="0" w:beforeAutospacing="1" w:after="0" w:afterAutospacing="1" w:line="36" w:lineRule="atLeast"/>
        <w:ind w:left="0" w:right="0" w:firstLine="1807"/>
        <w:jc w:val="center"/>
      </w:pPr>
    </w:p>
    <w:p>
      <w:pPr>
        <w:pStyle w:val="44"/>
        <w:keepNext w:val="0"/>
        <w:keepLines w:val="0"/>
        <w:widowControl/>
        <w:suppressLineNumbers w:val="0"/>
        <w:spacing w:before="0" w:beforeAutospacing="1" w:after="0" w:afterAutospacing="1" w:line="27" w:lineRule="atLeast"/>
        <w:ind w:left="0" w:right="0" w:firstLine="750"/>
      </w:pPr>
    </w:p>
    <w:p>
      <w:pPr>
        <w:pStyle w:val="44"/>
        <w:keepNext w:val="0"/>
        <w:keepLines w:val="0"/>
        <w:widowControl/>
        <w:suppressLineNumbers w:val="0"/>
        <w:spacing w:before="0" w:beforeAutospacing="1" w:after="0" w:afterAutospacing="1" w:line="27" w:lineRule="atLeast"/>
        <w:ind w:left="0" w:right="0" w:firstLine="750"/>
      </w:pPr>
      <w:r>
        <w:rPr>
          <w:sz w:val="30"/>
          <w:szCs w:val="30"/>
        </w:rPr>
        <w:t>公司名称：</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业务代表：</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联系电话：</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联系邮箱：</w:t>
      </w:r>
      <w:r>
        <w:t xml:space="preserve"> </w:t>
      </w:r>
    </w:p>
    <w:p>
      <w:pPr>
        <w:pStyle w:val="44"/>
        <w:keepNext w:val="0"/>
        <w:keepLines w:val="0"/>
        <w:widowControl/>
        <w:suppressLineNumbers w:val="0"/>
        <w:spacing w:before="0" w:beforeAutospacing="1" w:after="0" w:afterAutospacing="1" w:line="27" w:lineRule="atLeast"/>
        <w:ind w:left="0" w:right="0" w:firstLine="750"/>
      </w:pPr>
      <w:r>
        <w:rPr>
          <w:sz w:val="30"/>
          <w:szCs w:val="30"/>
        </w:rPr>
        <w:t>日 期：</w:t>
      </w:r>
      <w:r>
        <w:t xml:space="preserve"> </w:t>
      </w:r>
    </w:p>
    <w:p>
      <w:pPr>
        <w:pStyle w:val="2"/>
        <w:outlineLvl w:val="9"/>
        <w:rPr>
          <w:rFonts w:hAnsi="宋体" w:cs="宋体"/>
          <w:b/>
          <w:color w:val="auto"/>
          <w:spacing w:val="100"/>
          <w:w w:val="110"/>
          <w:sz w:val="48"/>
          <w:szCs w:val="48"/>
          <w:highlight w:val="none"/>
        </w:rPr>
      </w:pPr>
    </w:p>
    <w:p>
      <w:pPr>
        <w:pStyle w:val="2"/>
        <w:outlineLvl w:val="9"/>
        <w:rPr>
          <w:rFonts w:hAnsi="宋体" w:cs="宋体"/>
          <w:b/>
          <w:color w:val="auto"/>
          <w:spacing w:val="100"/>
          <w:w w:val="110"/>
          <w:sz w:val="48"/>
          <w:szCs w:val="48"/>
          <w:highlight w:val="none"/>
        </w:rPr>
      </w:pPr>
    </w:p>
    <w:p>
      <w:pPr>
        <w:jc w:val="both"/>
        <w:rPr>
          <w:rFonts w:hint="eastAsia" w:ascii="黑体" w:hAnsi="黑体" w:eastAsia="黑体"/>
          <w:sz w:val="32"/>
          <w:szCs w:val="32"/>
        </w:rPr>
      </w:pPr>
    </w:p>
    <w:p>
      <w:pPr>
        <w:pStyle w:val="2"/>
        <w:rPr>
          <w:rFonts w:hint="eastAsia"/>
        </w:rPr>
      </w:pPr>
    </w:p>
    <w:p>
      <w:pPr>
        <w:jc w:val="center"/>
        <w:rPr>
          <w:rFonts w:ascii="黑体" w:hAnsi="黑体" w:eastAsia="黑体"/>
          <w:sz w:val="32"/>
          <w:szCs w:val="32"/>
        </w:rPr>
      </w:pPr>
      <w:r>
        <w:rPr>
          <w:rFonts w:hint="eastAsia" w:ascii="黑体" w:hAnsi="黑体" w:eastAsia="黑体"/>
          <w:sz w:val="32"/>
          <w:szCs w:val="32"/>
        </w:rPr>
        <w:t>报价单</w:t>
      </w:r>
    </w:p>
    <w:tbl>
      <w:tblPr>
        <w:tblStyle w:val="48"/>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401"/>
        <w:gridCol w:w="1143"/>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240" w:lineRule="auto"/>
              <w:jc w:val="center"/>
              <w:rPr>
                <w:rFonts w:hint="default" w:ascii="宋体" w:hAnsi="宋体" w:cs="宋体"/>
                <w:bCs/>
                <w:sz w:val="24"/>
                <w:lang w:val="en-US"/>
              </w:rPr>
            </w:pPr>
            <w:r>
              <w:rPr>
                <w:rFonts w:hint="eastAsia" w:ascii="宋体" w:hAnsi="宋体" w:cs="宋体"/>
                <w:bCs/>
                <w:sz w:val="24"/>
                <w:lang w:val="en-US" w:eastAsia="zh-CN"/>
              </w:rPr>
              <w:t>标的</w:t>
            </w:r>
          </w:p>
        </w:tc>
        <w:tc>
          <w:tcPr>
            <w:tcW w:w="2401" w:type="dxa"/>
            <w:shd w:val="clear" w:color="auto" w:fill="auto"/>
            <w:noWrap/>
            <w:vAlign w:val="center"/>
          </w:tcPr>
          <w:p>
            <w:pPr>
              <w:spacing w:line="240" w:lineRule="auto"/>
              <w:jc w:val="center"/>
              <w:rPr>
                <w:rFonts w:hint="default" w:ascii="宋体" w:hAnsi="宋体" w:eastAsia="宋体" w:cs="宋体"/>
                <w:bCs/>
                <w:sz w:val="24"/>
                <w:lang w:val="en-US" w:eastAsia="zh-CN"/>
              </w:rPr>
            </w:pPr>
            <w:r>
              <w:rPr>
                <w:rFonts w:hint="eastAsia" w:ascii="宋体" w:hAnsi="宋体" w:cs="宋体"/>
                <w:bCs/>
                <w:sz w:val="24"/>
                <w:lang w:val="en-US" w:eastAsia="zh-CN"/>
              </w:rPr>
              <w:t>医疗器械注册证中的产品注册名称</w:t>
            </w:r>
          </w:p>
        </w:tc>
        <w:tc>
          <w:tcPr>
            <w:tcW w:w="1143" w:type="dxa"/>
            <w:shd w:val="clear" w:color="auto" w:fill="auto"/>
            <w:noWrap/>
            <w:vAlign w:val="center"/>
          </w:tcPr>
          <w:p>
            <w:pPr>
              <w:spacing w:line="24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24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24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24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240" w:lineRule="auto"/>
              <w:jc w:val="center"/>
              <w:rPr>
                <w:rFonts w:ascii="宋体" w:hAnsi="宋体" w:cs="宋体"/>
                <w:bCs/>
                <w:sz w:val="24"/>
              </w:rPr>
            </w:pPr>
            <w:r>
              <w:rPr>
                <w:rFonts w:hint="eastAsia" w:ascii="宋体" w:hAnsi="宋体" w:cs="宋体"/>
                <w:bCs/>
                <w:sz w:val="24"/>
              </w:rPr>
              <w:t>初始报价</w:t>
            </w:r>
          </w:p>
          <w:p>
            <w:pPr>
              <w:spacing w:line="24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24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401" w:type="dxa"/>
            <w:shd w:val="clear" w:color="auto" w:fill="auto"/>
            <w:noWrap/>
            <w:vAlign w:val="center"/>
          </w:tcPr>
          <w:p>
            <w:pPr>
              <w:spacing w:line="360" w:lineRule="auto"/>
              <w:jc w:val="left"/>
              <w:rPr>
                <w:rFonts w:ascii="宋体" w:hAnsi="宋体" w:cs="宋体"/>
                <w:bCs/>
                <w:sz w:val="24"/>
              </w:rPr>
            </w:pPr>
          </w:p>
        </w:tc>
        <w:tc>
          <w:tcPr>
            <w:tcW w:w="1143"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401" w:type="dxa"/>
            <w:shd w:val="clear" w:color="auto" w:fill="auto"/>
            <w:noWrap/>
            <w:vAlign w:val="center"/>
          </w:tcPr>
          <w:p>
            <w:pPr>
              <w:spacing w:line="360" w:lineRule="auto"/>
              <w:jc w:val="left"/>
              <w:rPr>
                <w:rFonts w:ascii="宋体" w:hAnsi="宋体" w:cs="宋体"/>
                <w:bCs/>
                <w:sz w:val="24"/>
              </w:rPr>
            </w:pPr>
          </w:p>
        </w:tc>
        <w:tc>
          <w:tcPr>
            <w:tcW w:w="1143"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401" w:type="dxa"/>
            <w:shd w:val="clear" w:color="auto" w:fill="auto"/>
            <w:noWrap/>
            <w:vAlign w:val="center"/>
          </w:tcPr>
          <w:p>
            <w:pPr>
              <w:spacing w:line="360" w:lineRule="auto"/>
              <w:jc w:val="left"/>
              <w:rPr>
                <w:rFonts w:ascii="宋体" w:hAnsi="宋体" w:cs="宋体"/>
                <w:bCs/>
                <w:sz w:val="24"/>
              </w:rPr>
            </w:pPr>
          </w:p>
        </w:tc>
        <w:tc>
          <w:tcPr>
            <w:tcW w:w="1143"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ascii="宋体" w:hAnsi="宋体"/>
          <w:sz w:val="24"/>
        </w:rPr>
      </w:pPr>
      <w:r>
        <w:rPr>
          <w:rFonts w:hint="eastAsia" w:ascii="宋体" w:hAnsi="宋体"/>
          <w:sz w:val="24"/>
        </w:rPr>
        <w:t>1）合同后签订后</w:t>
      </w:r>
      <w:r>
        <w:rPr>
          <w:rFonts w:hint="eastAsia" w:ascii="宋体" w:hAnsi="宋体"/>
          <w:sz w:val="24"/>
          <w:u w:val="single"/>
        </w:rPr>
        <w:t xml:space="preserve">       </w:t>
      </w:r>
      <w:r>
        <w:rPr>
          <w:rFonts w:hint="eastAsia" w:ascii="宋体" w:hAnsi="宋体"/>
          <w:sz w:val="24"/>
        </w:rPr>
        <w:t>天内完成供货。</w:t>
      </w:r>
    </w:p>
    <w:p>
      <w:pPr>
        <w:widowControl/>
        <w:spacing w:line="360" w:lineRule="auto"/>
        <w:jc w:val="left"/>
        <w:rPr>
          <w:rFonts w:ascii="宋体" w:hAnsi="宋体"/>
          <w:sz w:val="24"/>
        </w:rPr>
      </w:pPr>
      <w:r>
        <w:rPr>
          <w:rFonts w:hint="eastAsia" w:ascii="宋体" w:hAnsi="宋体"/>
          <w:sz w:val="24"/>
        </w:rPr>
        <w:t>2）保修期：验收合格后</w:t>
      </w:r>
      <w:r>
        <w:rPr>
          <w:rFonts w:hint="eastAsia" w:ascii="宋体" w:hAnsi="宋体"/>
          <w:sz w:val="24"/>
          <w:lang w:val="en-US" w:eastAsia="zh-CN"/>
        </w:rPr>
        <w:t>原厂</w:t>
      </w:r>
      <w:r>
        <w:rPr>
          <w:rFonts w:hint="eastAsia" w:ascii="宋体" w:hAnsi="宋体"/>
          <w:sz w:val="24"/>
        </w:rPr>
        <w:t>整机</w:t>
      </w:r>
      <w:r>
        <w:rPr>
          <w:rFonts w:hint="eastAsia" w:ascii="宋体" w:hAnsi="宋体"/>
          <w:sz w:val="24"/>
          <w:lang w:val="en-US" w:eastAsia="zh-CN"/>
        </w:rPr>
        <w:t>全保</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小时内修复；如不能修复，卖方保证提供(□同型号□同类型)设备备用机于买方使用；</w:t>
      </w:r>
    </w:p>
    <w:p>
      <w:pPr>
        <w:widowControl/>
        <w:spacing w:line="360" w:lineRule="auto"/>
        <w:ind w:left="1080" w:hanging="1080" w:hangingChars="450"/>
        <w:jc w:val="left"/>
        <w:rPr>
          <w:rFonts w:ascii="宋体" w:hAnsi="宋体"/>
          <w:sz w:val="24"/>
        </w:rPr>
      </w:pPr>
      <w:r>
        <w:rPr>
          <w:rFonts w:hint="eastAsia" w:ascii="宋体" w:hAnsi="宋体"/>
          <w:sz w:val="24"/>
        </w:rPr>
        <w:t>4）提供：□维修培训  □维修手册   □电路图   □维修密码     □软件终身免费重装升级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hint="eastAsia" w:ascii="宋体" w:hAnsi="宋体"/>
          <w:sz w:val="24"/>
        </w:rPr>
      </w:pPr>
      <w:r>
        <w:rPr>
          <w:rFonts w:hint="eastAsia" w:ascii="宋体" w:hAnsi="宋体"/>
          <w:sz w:val="24"/>
        </w:rPr>
        <w:t>专机专用耗材报价（如有）：</w:t>
      </w:r>
    </w:p>
    <w:p>
      <w:pPr>
        <w:pStyle w:val="58"/>
        <w:rPr>
          <w:rFonts w:hint="eastAsia" w:ascii="宋体" w:hAnsi="宋体"/>
          <w:sz w:val="24"/>
        </w:rPr>
      </w:pPr>
    </w:p>
    <w:p>
      <w:pPr>
        <w:pStyle w:val="38"/>
        <w:rPr>
          <w:rFonts w:hint="eastAsia" w:ascii="宋体" w:hAnsi="宋体"/>
          <w:sz w:val="24"/>
        </w:rPr>
      </w:pPr>
    </w:p>
    <w:p>
      <w:pPr>
        <w:pStyle w:val="38"/>
        <w:ind w:left="0" w:leftChars="0" w:firstLine="0" w:firstLineChars="0"/>
        <w:rPr>
          <w:rFonts w:hint="default" w:ascii="宋体" w:hAnsi="宋体" w:eastAsia="宋体"/>
          <w:sz w:val="24"/>
          <w:lang w:val="en-US" w:eastAsia="zh-CN"/>
        </w:rPr>
      </w:pPr>
      <w:r>
        <w:rPr>
          <w:rFonts w:hint="eastAsia" w:ascii="宋体" w:hAnsi="宋体"/>
          <w:sz w:val="24"/>
          <w:lang w:val="en-US" w:eastAsia="zh-CN"/>
        </w:rPr>
        <w:t>其他承诺（如有）：</w:t>
      </w:r>
    </w:p>
    <w:p>
      <w:pPr>
        <w:widowControl/>
        <w:spacing w:line="360" w:lineRule="auto"/>
        <w:jc w:val="left"/>
        <w:rPr>
          <w:rFonts w:ascii="宋体" w:hAnsi="宋体"/>
          <w:sz w:val="24"/>
        </w:rPr>
      </w:pPr>
    </w:p>
    <w:p>
      <w:pPr>
        <w:pStyle w:val="58"/>
      </w:pPr>
    </w:p>
    <w:p>
      <w:pPr>
        <w:widowControl/>
        <w:spacing w:line="360" w:lineRule="auto"/>
        <w:ind w:firstLine="2280" w:firstLineChars="950"/>
        <w:jc w:val="left"/>
        <w:rPr>
          <w:rFonts w:ascii="宋体" w:hAnsi="宋体"/>
          <w:sz w:val="24"/>
        </w:rPr>
      </w:pPr>
    </w:p>
    <w:p>
      <w:pPr>
        <w:pStyle w:val="62"/>
      </w:pPr>
    </w:p>
    <w:p>
      <w:pPr>
        <w:widowControl/>
        <w:spacing w:line="360" w:lineRule="auto"/>
        <w:ind w:firstLine="1440" w:firstLineChars="600"/>
        <w:jc w:val="left"/>
        <w:rPr>
          <w:rFonts w:ascii="宋体" w:hAnsi="宋体"/>
          <w:sz w:val="24"/>
        </w:rPr>
      </w:pPr>
      <w:r>
        <w:rPr>
          <w:rFonts w:hint="eastAsia" w:ascii="宋体" w:hAnsi="宋体"/>
          <w:sz w:val="24"/>
        </w:rPr>
        <w:t xml:space="preserve">供应商法定代表人或授权代表签名：              </w:t>
      </w:r>
    </w:p>
    <w:p>
      <w:pPr>
        <w:spacing w:line="360" w:lineRule="auto"/>
        <w:ind w:firstLine="4680" w:firstLineChars="1950"/>
        <w:rPr>
          <w:rFonts w:ascii="宋体" w:hAnsi="宋体" w:cs="宋体"/>
          <w:b/>
          <w:sz w:val="24"/>
        </w:rPr>
      </w:pPr>
      <w:r>
        <w:rPr>
          <w:rFonts w:hint="eastAsia" w:ascii="宋体" w:hAnsi="宋体"/>
          <w:sz w:val="24"/>
        </w:rPr>
        <w:t>日期：  年   月    日</w:t>
      </w:r>
    </w:p>
    <w:p>
      <w:pPr>
        <w:pStyle w:val="44"/>
        <w:keepNext w:val="0"/>
        <w:keepLines w:val="0"/>
        <w:widowControl/>
        <w:suppressLineNumbers w:val="0"/>
        <w:spacing w:before="0" w:beforeAutospacing="1" w:after="0" w:afterAutospacing="1" w:line="240" w:lineRule="atLeast"/>
        <w:ind w:left="0" w:right="0" w:firstLine="602"/>
        <w:jc w:val="center"/>
      </w:pPr>
    </w:p>
    <w:p>
      <w:pPr>
        <w:pStyle w:val="44"/>
        <w:keepNext w:val="0"/>
        <w:keepLines w:val="0"/>
        <w:widowControl/>
        <w:suppressLineNumbers w:val="0"/>
        <w:spacing w:before="0" w:beforeAutospacing="1" w:after="0" w:afterAutospacing="1" w:line="240" w:lineRule="atLeast"/>
        <w:ind w:left="0" w:right="0" w:firstLine="602"/>
        <w:jc w:val="center"/>
      </w:pPr>
    </w:p>
    <w:p>
      <w:pPr>
        <w:pStyle w:val="44"/>
        <w:keepNext w:val="0"/>
        <w:keepLines w:val="0"/>
        <w:widowControl/>
        <w:suppressLineNumbers w:val="0"/>
        <w:spacing w:before="0" w:beforeAutospacing="1" w:after="0" w:afterAutospacing="1" w:line="240" w:lineRule="atLeast"/>
        <w:ind w:left="0" w:right="0" w:firstLine="602"/>
        <w:jc w:val="center"/>
      </w:pPr>
    </w:p>
    <w:p>
      <w:pPr>
        <w:pStyle w:val="44"/>
        <w:keepNext w:val="0"/>
        <w:keepLines w:val="0"/>
        <w:widowControl/>
        <w:suppressLineNumbers w:val="0"/>
        <w:spacing w:before="0" w:beforeAutospacing="1" w:after="0" w:afterAutospacing="1" w:line="240" w:lineRule="atLeast"/>
        <w:ind w:right="0"/>
        <w:jc w:val="both"/>
      </w:pPr>
    </w:p>
    <w:p>
      <w:pPr>
        <w:pStyle w:val="44"/>
        <w:keepNext w:val="0"/>
        <w:keepLines w:val="0"/>
        <w:widowControl/>
        <w:suppressLineNumbers w:val="0"/>
        <w:spacing w:before="0" w:beforeAutospacing="1" w:after="0" w:afterAutospacing="1" w:line="240" w:lineRule="atLeast"/>
        <w:ind w:left="0" w:right="0" w:firstLine="602"/>
        <w:jc w:val="center"/>
        <w:rPr>
          <w:rFonts w:hint="eastAsia"/>
          <w:b/>
          <w:color w:val="auto"/>
          <w:lang w:val="en-US" w:eastAsia="zh-CN"/>
        </w:rPr>
      </w:pPr>
      <w:bookmarkStart w:id="375" w:name="OLE_LINK59"/>
      <w:r>
        <w:rPr>
          <w:rFonts w:hint="eastAsia"/>
          <w:b/>
          <w:color w:val="auto"/>
          <w:lang w:val="en-US" w:eastAsia="zh-CN"/>
        </w:rPr>
        <w:t>评分自查表</w:t>
      </w:r>
    </w:p>
    <w:tbl>
      <w:tblPr>
        <w:tblStyle w:val="48"/>
        <w:tblW w:w="899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6"/>
        <w:gridCol w:w="1401"/>
        <w:gridCol w:w="5193"/>
        <w:gridCol w:w="17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6" w:type="dxa"/>
            <w:vAlign w:val="center"/>
          </w:tcPr>
          <w:p>
            <w:pPr>
              <w:pStyle w:val="21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评审因素</w:t>
            </w:r>
          </w:p>
        </w:tc>
        <w:tc>
          <w:tcPr>
            <w:tcW w:w="6594" w:type="dxa"/>
            <w:gridSpan w:val="2"/>
            <w:vAlign w:val="center"/>
          </w:tcPr>
          <w:p>
            <w:pPr>
              <w:pStyle w:val="217"/>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评审标准</w:t>
            </w:r>
          </w:p>
        </w:tc>
        <w:tc>
          <w:tcPr>
            <w:tcW w:w="1742" w:type="dxa"/>
            <w:vAlign w:val="center"/>
          </w:tcPr>
          <w:p>
            <w:pPr>
              <w:pStyle w:val="217"/>
              <w:jc w:val="center"/>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cstheme="minorEastAsia"/>
                <w:b/>
                <w:bCs/>
                <w:color w:val="auto"/>
                <w:sz w:val="21"/>
                <w:szCs w:val="21"/>
                <w:lang w:val="en-US" w:eastAsia="zh-CN"/>
              </w:rPr>
              <w:t>材料页码范围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6" w:type="dxa"/>
            <w:vMerge w:val="restart"/>
            <w:vAlign w:val="center"/>
          </w:tcPr>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技术部分</w:t>
            </w:r>
          </w:p>
        </w:tc>
        <w:tc>
          <w:tcPr>
            <w:tcW w:w="1401"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技术参数响应程度 (</w:t>
            </w:r>
            <w:r>
              <w:rPr>
                <w:rFonts w:hint="eastAsia" w:asciiTheme="minorEastAsia" w:hAnsiTheme="minorEastAsia" w:cstheme="minorEastAsia"/>
                <w:color w:val="auto"/>
                <w:sz w:val="21"/>
                <w:szCs w:val="21"/>
                <w:lang w:val="en-US" w:eastAsia="zh-CN"/>
              </w:rPr>
              <w:t>36.25</w:t>
            </w:r>
            <w:r>
              <w:rPr>
                <w:rFonts w:hint="eastAsia" w:asciiTheme="minorEastAsia" w:hAnsiTheme="minorEastAsia" w:eastAsiaTheme="minorEastAsia" w:cstheme="minorEastAsia"/>
                <w:color w:val="auto"/>
                <w:sz w:val="21"/>
                <w:szCs w:val="21"/>
              </w:rPr>
              <w:t>分)</w:t>
            </w:r>
          </w:p>
        </w:tc>
        <w:tc>
          <w:tcPr>
            <w:tcW w:w="519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文件“具体技术(参数)要求”中</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参数的响应程度进行评分，共计</w:t>
            </w:r>
            <w:r>
              <w:rPr>
                <w:rFonts w:hint="eastAsia" w:asciiTheme="minorEastAsia" w:hAnsiTheme="minorEastAsia" w:cstheme="minorEastAsia"/>
                <w:color w:val="auto"/>
                <w:sz w:val="21"/>
                <w:szCs w:val="21"/>
                <w:lang w:val="en-US" w:eastAsia="zh-CN"/>
              </w:rPr>
              <w:t>29</w:t>
            </w:r>
            <w:r>
              <w:rPr>
                <w:rFonts w:hint="eastAsia" w:asciiTheme="minorEastAsia" w:hAnsiTheme="minorEastAsia" w:eastAsiaTheme="minorEastAsia" w:cstheme="minorEastAsia"/>
                <w:color w:val="auto"/>
                <w:sz w:val="21"/>
                <w:szCs w:val="21"/>
              </w:rPr>
              <w:t>项：每项</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分，完全满足得</w:t>
            </w:r>
            <w:r>
              <w:rPr>
                <w:rFonts w:hint="eastAsia" w:asciiTheme="minorEastAsia" w:hAnsiTheme="minorEastAsia" w:cstheme="minorEastAsia"/>
                <w:color w:val="auto"/>
                <w:sz w:val="21"/>
                <w:szCs w:val="21"/>
                <w:lang w:val="en-US" w:eastAsia="zh-CN"/>
              </w:rPr>
              <w:t>36.25</w:t>
            </w:r>
            <w:r>
              <w:rPr>
                <w:rFonts w:hint="eastAsia" w:asciiTheme="minorEastAsia" w:hAnsiTheme="minorEastAsia" w:eastAsiaTheme="minorEastAsia" w:cstheme="minorEastAsia"/>
                <w:color w:val="auto"/>
                <w:sz w:val="21"/>
                <w:szCs w:val="21"/>
              </w:rPr>
              <w:t>分；每出现一项负偏离，扣</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cstheme="minorEastAsia"/>
                <w:color w:val="auto"/>
                <w:sz w:val="21"/>
                <w:szCs w:val="21"/>
                <w:lang w:val="en-US" w:eastAsia="zh-CN"/>
              </w:rPr>
              <w:t>.25</w:t>
            </w:r>
            <w:r>
              <w:rPr>
                <w:rFonts w:hint="eastAsia" w:asciiTheme="minorEastAsia" w:hAnsiTheme="minorEastAsia" w:eastAsiaTheme="minorEastAsia" w:cstheme="minorEastAsia"/>
                <w:color w:val="auto"/>
                <w:sz w:val="21"/>
                <w:szCs w:val="21"/>
              </w:rPr>
              <w:t>分，最低得0分。</w:t>
            </w:r>
          </w:p>
        </w:tc>
        <w:tc>
          <w:tcPr>
            <w:tcW w:w="1742"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6" w:type="dxa"/>
            <w:vMerge w:val="continue"/>
            <w:vAlign w:val="center"/>
          </w:tcPr>
          <w:p>
            <w:pPr>
              <w:rPr>
                <w:rFonts w:hint="eastAsia" w:asciiTheme="minorEastAsia" w:hAnsiTheme="minorEastAsia" w:eastAsiaTheme="minorEastAsia" w:cstheme="minorEastAsia"/>
                <w:color w:val="auto"/>
                <w:sz w:val="21"/>
                <w:szCs w:val="21"/>
              </w:rPr>
            </w:pPr>
          </w:p>
        </w:tc>
        <w:tc>
          <w:tcPr>
            <w:tcW w:w="1401"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所投货物配置、选型及技术水平 (</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tc>
        <w:tc>
          <w:tcPr>
            <w:tcW w:w="519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由评委对各</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的货物配置、选型及技术水平进行评议及打分。 </w:t>
            </w:r>
          </w:p>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①</w:t>
            </w:r>
            <w:r>
              <w:rPr>
                <w:rFonts w:hint="eastAsia" w:asciiTheme="minorEastAsia" w:hAnsiTheme="minorEastAsia" w:eastAsiaTheme="minorEastAsia" w:cstheme="minorEastAsia"/>
                <w:color w:val="auto"/>
                <w:sz w:val="21"/>
                <w:szCs w:val="21"/>
              </w:rPr>
              <w:t>所投货物配置、选型及性能完全满足</w:t>
            </w:r>
            <w:r>
              <w:rPr>
                <w:rFonts w:hint="eastAsia" w:asciiTheme="minorEastAsia" w:hAnsiTheme="minorEastAsia" w:cstheme="minorEastAsia"/>
                <w:color w:val="auto"/>
                <w:sz w:val="21"/>
                <w:szCs w:val="21"/>
                <w:lang w:val="en-US" w:eastAsia="zh-CN"/>
              </w:rPr>
              <w:t>或优于</w:t>
            </w:r>
            <w:r>
              <w:rPr>
                <w:rFonts w:hint="eastAsia" w:asciiTheme="minorEastAsia" w:hAnsiTheme="minorEastAsia" w:eastAsiaTheme="minorEastAsia" w:cstheme="minorEastAsia"/>
                <w:color w:val="auto"/>
                <w:sz w:val="21"/>
                <w:szCs w:val="21"/>
              </w:rPr>
              <w:t>用户需求且有相关证明材料证明，技术水平先进、各项功能非常完善的，得</w:t>
            </w:r>
            <w:r>
              <w:rPr>
                <w:rFonts w:hint="eastAsia" w:asciiTheme="minorEastAsia" w:hAnsi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②</w:t>
            </w:r>
            <w:r>
              <w:rPr>
                <w:rFonts w:hint="eastAsia" w:asciiTheme="minorEastAsia" w:hAnsiTheme="minorEastAsia" w:eastAsiaTheme="minorEastAsia" w:cstheme="minorEastAsia"/>
                <w:color w:val="auto"/>
                <w:sz w:val="21"/>
                <w:szCs w:val="21"/>
              </w:rPr>
              <w:t>所投货物配置、选型及性能基本满足用户需求且能提供一定证明材料，技术水平比较先进、各项功能比较完善的，得</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③</w:t>
            </w:r>
            <w:r>
              <w:rPr>
                <w:rFonts w:hint="eastAsia" w:asciiTheme="minorEastAsia" w:hAnsiTheme="minorEastAsia" w:eastAsiaTheme="minorEastAsia" w:cstheme="minorEastAsia"/>
                <w:color w:val="auto"/>
                <w:sz w:val="21"/>
                <w:szCs w:val="21"/>
              </w:rPr>
              <w:t>所投货物配置、选型及性能略有不足，总体技术水平比较普通、功能完善性一般的，得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w:t>
            </w:r>
            <w:r>
              <w:rPr>
                <w:rFonts w:hint="eastAsia" w:asciiTheme="minorEastAsia" w:hAnsiTheme="minorEastAsia" w:eastAsiaTheme="minorEastAsia" w:cstheme="minorEastAsia"/>
                <w:color w:val="auto"/>
                <w:sz w:val="21"/>
                <w:szCs w:val="21"/>
              </w:rPr>
              <w:t>所投货物配置、选型不合理，技术水平比较落后、功能不完善的，得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（提供设备配置清单或体现技术水平的相关证明材料，如相关认证、技术说明书或有效检验报告等证明材料）。</w:t>
            </w:r>
          </w:p>
        </w:tc>
        <w:tc>
          <w:tcPr>
            <w:tcW w:w="1742" w:type="dxa"/>
            <w:vAlign w:val="center"/>
          </w:tcPr>
          <w:p>
            <w:pPr>
              <w:pStyle w:val="217"/>
              <w:numPr>
                <w:ilvl w:val="0"/>
                <w:numId w:val="0"/>
              </w:numPr>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6" w:type="dxa"/>
            <w:vMerge w:val="continue"/>
            <w:vAlign w:val="center"/>
          </w:tcPr>
          <w:p>
            <w:pPr>
              <w:rPr>
                <w:rFonts w:hint="eastAsia" w:asciiTheme="minorEastAsia" w:hAnsiTheme="minorEastAsia" w:eastAsiaTheme="minorEastAsia" w:cstheme="minorEastAsia"/>
                <w:color w:val="auto"/>
                <w:sz w:val="21"/>
                <w:szCs w:val="21"/>
              </w:rPr>
            </w:pPr>
          </w:p>
        </w:tc>
        <w:tc>
          <w:tcPr>
            <w:tcW w:w="1401"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安装</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调试、培训方案 (</w:t>
            </w:r>
            <w:r>
              <w:rPr>
                <w:rFonts w:hint="eastAsia" w:asciiTheme="minorEastAsia" w:hAnsi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p>
        </w:tc>
        <w:tc>
          <w:tcPr>
            <w:tcW w:w="5193" w:type="dxa"/>
            <w:vAlign w:val="center"/>
          </w:tcPr>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根据响应单位的安装、调试、培训方案（应包含具体的安装调试计划、安装步骤、安装调试人员安排、培训目标、培训师资、培训方式、培训内容，时间安排等）进行评分：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①设备安装、调试、培训方案有明确的计划和步骤，保障措施详细、合理可行满足或优于采购需求的，得6分；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②有较为详细的安装、调试、培训方案，方案内容较完整较可行，满足采购需求的，得4分；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③设备安装、调试、培训方案过于简单或不合理无保障的，部分满足采购需求的，得2分。 </w:t>
            </w:r>
          </w:p>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④安装、调试、培训的响应内容与采购需求存在较多不满足的，得1分。</w:t>
            </w:r>
          </w:p>
          <w:p>
            <w:pPr>
              <w:pStyle w:val="217"/>
              <w:numPr>
                <w:ilvl w:val="0"/>
                <w:numId w:val="0"/>
              </w:numPr>
              <w:jc w:val="left"/>
              <w:rPr>
                <w:rFonts w:hint="default" w:eastAsiaTheme="minorEastAsia"/>
                <w:color w:val="auto"/>
                <w:lang w:val="en-US" w:eastAsia="zh-CN"/>
              </w:rPr>
            </w:pPr>
            <w:r>
              <w:rPr>
                <w:rFonts w:hint="eastAsia" w:asciiTheme="minorEastAsia" w:hAnsiTheme="minorEastAsia" w:eastAsiaTheme="minorEastAsia" w:cstheme="minorEastAsia"/>
                <w:color w:val="auto"/>
                <w:sz w:val="21"/>
                <w:szCs w:val="21"/>
                <w:lang w:val="en-US" w:eastAsia="zh-CN"/>
              </w:rPr>
              <w:t>⑤不提供安装、调试、培训方案，得0分。</w:t>
            </w:r>
          </w:p>
        </w:tc>
        <w:tc>
          <w:tcPr>
            <w:tcW w:w="1742" w:type="dxa"/>
            <w:vAlign w:val="center"/>
          </w:tcPr>
          <w:p>
            <w:pPr>
              <w:pStyle w:val="217"/>
              <w:numPr>
                <w:ilvl w:val="0"/>
                <w:numId w:val="0"/>
              </w:numPr>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6" w:type="dxa"/>
            <w:vMerge w:val="continue"/>
            <w:vAlign w:val="center"/>
          </w:tcPr>
          <w:p>
            <w:pPr>
              <w:rPr>
                <w:rFonts w:hint="eastAsia" w:asciiTheme="minorEastAsia" w:hAnsiTheme="minorEastAsia" w:eastAsiaTheme="minorEastAsia" w:cstheme="minorEastAsia"/>
                <w:color w:val="auto"/>
                <w:sz w:val="21"/>
                <w:szCs w:val="21"/>
              </w:rPr>
            </w:pPr>
          </w:p>
        </w:tc>
        <w:tc>
          <w:tcPr>
            <w:tcW w:w="1401"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质量保证方案 (</w:t>
            </w:r>
            <w:r>
              <w:rPr>
                <w:rFonts w:hint="eastAsia" w:asciiTheme="minorEastAsia" w:hAnsiTheme="minorEastAsia" w:cstheme="minorEastAsia"/>
                <w:color w:val="auto"/>
                <w:sz w:val="21"/>
                <w:szCs w:val="21"/>
                <w:lang w:val="en-US" w:eastAsia="zh-CN"/>
              </w:rPr>
              <w:t>4.75</w:t>
            </w:r>
            <w:r>
              <w:rPr>
                <w:rFonts w:hint="eastAsia" w:asciiTheme="minorEastAsia" w:hAnsiTheme="minorEastAsia" w:eastAsiaTheme="minorEastAsia" w:cstheme="minorEastAsia"/>
                <w:color w:val="auto"/>
                <w:sz w:val="21"/>
                <w:szCs w:val="21"/>
              </w:rPr>
              <w:t>分)</w:t>
            </w:r>
          </w:p>
        </w:tc>
        <w:tc>
          <w:tcPr>
            <w:tcW w:w="519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针对本项目制定的质量保证方案（包括但不仅限于质量目标、质量控制措施、质量保证体系及措施、质量保障管理及制度等内容）进行综合评分：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质量目标清晰明确，质量控制措施合理可行，质量保证体系系统科学、保证措施严谨规范，质量保障管理及制度权责分明、体系完整，质量保证方案各项内容均具备，并能根据项目性质或采购需求提出合理可行的建议，完全满足或优于采购需求，得</w:t>
            </w:r>
            <w:r>
              <w:rPr>
                <w:rFonts w:hint="eastAsia" w:asciiTheme="minorEastAsia" w:hAnsiTheme="minorEastAsia" w:cstheme="minorEastAsia"/>
                <w:color w:val="auto"/>
                <w:sz w:val="21"/>
                <w:szCs w:val="21"/>
                <w:lang w:val="en-US" w:eastAsia="zh-CN"/>
              </w:rPr>
              <w:t>4.75</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质量目标明确，质量控制措施合理可行，质量保证体系及保证措施规范，质量保障管理及制度权责分明，质量保证方案各项内容均具备，满足采购需求，但未能根据项目性质或采购需求提出合理可行的建议或者建议不完善，得</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③质量目标不明确，或质量控制措施、质量保证体系及保证措施和质量保障管理及制度方案不合理不可行，或质量保证方案部分内容有缺漏，或未能根据项目性质或采购需求提出合理可行的建议，部分满足采购需求，得1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w:t>
            </w:r>
            <w:r>
              <w:rPr>
                <w:rFonts w:hint="eastAsia" w:asciiTheme="minorEastAsia" w:hAnsiTheme="minorEastAsia" w:cstheme="minorEastAsia"/>
                <w:color w:val="auto"/>
                <w:sz w:val="21"/>
                <w:szCs w:val="21"/>
                <w:lang w:val="en-US" w:eastAsia="zh-CN"/>
              </w:rPr>
              <w:t>无提供质量保证方案</w:t>
            </w:r>
            <w:r>
              <w:rPr>
                <w:rFonts w:hint="eastAsia" w:asciiTheme="minorEastAsia" w:hAnsiTheme="minorEastAsia" w:eastAsiaTheme="minorEastAsia" w:cstheme="minorEastAsia"/>
                <w:color w:val="auto"/>
                <w:sz w:val="21"/>
                <w:szCs w:val="21"/>
              </w:rPr>
              <w:t>，得0分。</w:t>
            </w:r>
          </w:p>
        </w:tc>
        <w:tc>
          <w:tcPr>
            <w:tcW w:w="1742"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6" w:type="dxa"/>
            <w:vMerge w:val="restart"/>
            <w:vAlign w:val="center"/>
          </w:tcPr>
          <w:p>
            <w:pPr>
              <w:pStyle w:val="2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商务部分</w:t>
            </w:r>
          </w:p>
        </w:tc>
        <w:tc>
          <w:tcPr>
            <w:tcW w:w="1401"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商务条款的响应情况 (</w:t>
            </w:r>
            <w:r>
              <w:rPr>
                <w:rFonts w:hint="eastAsia" w:asciiTheme="minorEastAsia" w:hAnsi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分)</w:t>
            </w:r>
          </w:p>
        </w:tc>
        <w:tc>
          <w:tcPr>
            <w:tcW w:w="519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根据响应单位对采购需求中的“商务要求”（共计</w:t>
            </w:r>
            <w:r>
              <w:rPr>
                <w:rFonts w:hint="eastAsia" w:asciiTheme="minorEastAsia" w:hAnsi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项）的响应程度进行评审，每项0.5分，完全满足得</w:t>
            </w:r>
            <w:r>
              <w:rPr>
                <w:rFonts w:hint="eastAsia" w:asciiTheme="minorEastAsia" w:hAnsi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分； 每出现一项负偏离，扣0.5分，最低得0分。 注：“付款方式”按1项计算。</w:t>
            </w:r>
          </w:p>
        </w:tc>
        <w:tc>
          <w:tcPr>
            <w:tcW w:w="1742"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6" w:type="dxa"/>
            <w:vMerge w:val="continue"/>
            <w:vAlign w:val="center"/>
          </w:tcPr>
          <w:p>
            <w:pPr>
              <w:rPr>
                <w:rFonts w:hint="eastAsia" w:asciiTheme="minorEastAsia" w:hAnsiTheme="minorEastAsia" w:eastAsiaTheme="minorEastAsia" w:cstheme="minorEastAsia"/>
                <w:color w:val="auto"/>
                <w:sz w:val="21"/>
                <w:szCs w:val="21"/>
              </w:rPr>
            </w:pPr>
          </w:p>
        </w:tc>
        <w:tc>
          <w:tcPr>
            <w:tcW w:w="1401"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同类业绩 (</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p>
        </w:tc>
        <w:tc>
          <w:tcPr>
            <w:tcW w:w="519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2021年1月1日</w:t>
            </w:r>
            <w:r>
              <w:rPr>
                <w:rFonts w:hint="eastAsia" w:asciiTheme="minorEastAsia" w:hAnsiTheme="minorEastAsia" w:cstheme="minorEastAsia"/>
                <w:color w:val="auto"/>
                <w:sz w:val="21"/>
                <w:szCs w:val="21"/>
                <w:lang w:val="en-US" w:eastAsia="zh-CN"/>
              </w:rPr>
              <w:t>(合同签订时间为准）以来</w:t>
            </w:r>
            <w:r>
              <w:rPr>
                <w:rFonts w:hint="eastAsia" w:asciiTheme="minorEastAsia" w:hAnsiTheme="minorEastAsia" w:eastAsiaTheme="minorEastAsia" w:cstheme="minorEastAsia"/>
                <w:color w:val="auto"/>
                <w:sz w:val="21"/>
                <w:szCs w:val="21"/>
              </w:rPr>
              <w:t>每份有效业绩得1分，最高不超过</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（有效业绩须同时满足以下条件：1.同类业绩是指与本项目所投产品一致且成交供应商为响应单位的业绩。</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2.需附上合同关键页复印件、中标通知书、成交通知书复印件其中一种并加盖供应商公司公章，否则不得分。）</w:t>
            </w:r>
          </w:p>
        </w:tc>
        <w:tc>
          <w:tcPr>
            <w:tcW w:w="1742"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6" w:type="dxa"/>
            <w:vMerge w:val="continue"/>
            <w:vAlign w:val="center"/>
          </w:tcPr>
          <w:p>
            <w:pPr>
              <w:rPr>
                <w:rFonts w:hint="eastAsia" w:asciiTheme="minorEastAsia" w:hAnsiTheme="minorEastAsia" w:eastAsiaTheme="minorEastAsia" w:cstheme="minorEastAsia"/>
                <w:color w:val="auto"/>
                <w:sz w:val="21"/>
                <w:szCs w:val="21"/>
              </w:rPr>
            </w:pPr>
          </w:p>
        </w:tc>
        <w:tc>
          <w:tcPr>
            <w:tcW w:w="1401"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售后服务方案 (</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p>
        </w:tc>
        <w:tc>
          <w:tcPr>
            <w:tcW w:w="519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 xml:space="preserve">售后服务方案（方案应包括但不限于以下内容：①售后服务方案；②售后服务人员资质；③厂家技术支持；④技术升级服务；⑤提供备品备件服务；⑥设备易损配件的最优惠供应单价；⑦质保期满后的后续维修服务等内容）进行综合评价：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①售后服务方案包含上述所有内容且具体详细、合理可行，能为采购人提供全面保障的，完全满足或优于采购需求的，得</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②售后服务方案包含上述所有内容，较详细，合理性、可行性较好，能为采购人提供一定保障，满足采购需求的，得3分；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③售后服务方案中内容有小部分缺漏，合理性、可行性一般，保障性一般的，部分满足采购需求的，得</w:t>
            </w: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分； </w:t>
            </w:r>
          </w:p>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④售后服务方案过于简单，内容有大量缺漏或售后服务的响应内容与采购需求存在较多不满足的得</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w:t>
            </w:r>
          </w:p>
          <w:p>
            <w:pPr>
              <w:pStyle w:val="217"/>
              <w:jc w:val="lef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⑤</w:t>
            </w:r>
            <w:r>
              <w:rPr>
                <w:rFonts w:hint="eastAsia" w:asciiTheme="minorEastAsia" w:hAnsiTheme="minorEastAsia" w:cstheme="minorEastAsia"/>
                <w:color w:val="auto"/>
                <w:sz w:val="21"/>
                <w:szCs w:val="21"/>
                <w:lang w:val="en-US" w:eastAsia="zh-CN"/>
              </w:rPr>
              <w:t>无提供售后服务方案的，得0分。</w:t>
            </w:r>
          </w:p>
        </w:tc>
        <w:tc>
          <w:tcPr>
            <w:tcW w:w="1742"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6" w:type="dxa"/>
            <w:vAlign w:val="center"/>
          </w:tcPr>
          <w:p>
            <w:pPr>
              <w:pStyle w:val="217"/>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w:t>
            </w:r>
          </w:p>
        </w:tc>
        <w:tc>
          <w:tcPr>
            <w:tcW w:w="1401"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报价得分 (30.0分)</w:t>
            </w:r>
          </w:p>
        </w:tc>
        <w:tc>
          <w:tcPr>
            <w:tcW w:w="5193"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价格分应当采用低价优先法计算，即满足</w:t>
            </w:r>
            <w:r>
              <w:rPr>
                <w:rFonts w:hint="eastAsia" w:asciiTheme="minorEastAsia" w:hAnsiTheme="minorEastAsia" w:cstheme="minorEastAsia"/>
                <w:color w:val="auto"/>
                <w:sz w:val="21"/>
                <w:szCs w:val="21"/>
                <w:lang w:val="en-US" w:eastAsia="zh-CN"/>
              </w:rPr>
              <w:t>磋商</w:t>
            </w:r>
            <w:r>
              <w:rPr>
                <w:rFonts w:hint="eastAsia" w:asciiTheme="minorEastAsia" w:hAnsiTheme="minorEastAsia" w:eastAsiaTheme="minorEastAsia" w:cstheme="minorEastAsia"/>
                <w:color w:val="auto"/>
                <w:sz w:val="21"/>
                <w:szCs w:val="21"/>
              </w:rPr>
              <w:t>文件要求（通过资格性审查和符合性审查）且</w:t>
            </w:r>
            <w:r>
              <w:rPr>
                <w:rFonts w:hint="eastAsia" w:asciiTheme="minorEastAsia" w:hAnsiTheme="minorEastAsia" w:cstheme="minorEastAsia"/>
                <w:color w:val="auto"/>
                <w:sz w:val="21"/>
                <w:szCs w:val="21"/>
                <w:lang w:val="en-US" w:eastAsia="zh-CN"/>
              </w:rPr>
              <w:t>报价</w:t>
            </w:r>
            <w:r>
              <w:rPr>
                <w:rFonts w:hint="eastAsia" w:asciiTheme="minorEastAsia" w:hAnsiTheme="minorEastAsia" w:eastAsiaTheme="minorEastAsia" w:cstheme="minorEastAsia"/>
                <w:color w:val="auto"/>
                <w:sz w:val="21"/>
                <w:szCs w:val="21"/>
              </w:rPr>
              <w:t>最低的报价为评标基准价，其价格分为满分。其他</w:t>
            </w:r>
            <w:r>
              <w:rPr>
                <w:rFonts w:hint="eastAsia" w:asciiTheme="minorEastAsia" w:hAnsiTheme="minorEastAsia" w:eastAsiaTheme="minorEastAsia" w:cstheme="minorEastAsia"/>
                <w:color w:val="auto"/>
                <w:sz w:val="21"/>
                <w:szCs w:val="21"/>
                <w:lang w:eastAsia="zh-CN"/>
              </w:rPr>
              <w:t>响应单位</w:t>
            </w:r>
            <w:r>
              <w:rPr>
                <w:rFonts w:hint="eastAsia" w:asciiTheme="minorEastAsia" w:hAnsiTheme="minorEastAsia" w:eastAsiaTheme="minorEastAsia" w:cstheme="minorEastAsia"/>
                <w:color w:val="auto"/>
                <w:sz w:val="21"/>
                <w:szCs w:val="21"/>
              </w:rPr>
              <w:t>的价格分统一按照下列公式计算：报价得分＝（评标基准价/</w:t>
            </w:r>
            <w:r>
              <w:rPr>
                <w:rFonts w:hint="eastAsia" w:asciiTheme="minorEastAsia" w:hAnsiTheme="minorEastAsia" w:cstheme="minorEastAsia"/>
                <w:color w:val="auto"/>
                <w:sz w:val="21"/>
                <w:szCs w:val="21"/>
                <w:lang w:val="en-US" w:eastAsia="zh-CN"/>
              </w:rPr>
              <w:t>响应</w:t>
            </w:r>
            <w:r>
              <w:rPr>
                <w:rFonts w:hint="eastAsia" w:asciiTheme="minorEastAsia" w:hAnsiTheme="minorEastAsia" w:eastAsiaTheme="minorEastAsia" w:cstheme="minorEastAsia"/>
                <w:color w:val="auto"/>
                <w:sz w:val="21"/>
                <w:szCs w:val="21"/>
              </w:rPr>
              <w:t>报价）×价格分值。</w:t>
            </w:r>
          </w:p>
        </w:tc>
        <w:tc>
          <w:tcPr>
            <w:tcW w:w="1742" w:type="dxa"/>
            <w:vAlign w:val="center"/>
          </w:tcPr>
          <w:p>
            <w:pPr>
              <w:pStyle w:val="217"/>
              <w:jc w:val="lef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16"/>
                <w:szCs w:val="16"/>
                <w:lang w:eastAsia="zh-CN"/>
              </w:rPr>
              <w:t>（</w:t>
            </w:r>
            <w:r>
              <w:rPr>
                <w:rFonts w:hint="eastAsia" w:asciiTheme="minorEastAsia" w:hAnsiTheme="minorEastAsia" w:cstheme="minorEastAsia"/>
                <w:color w:val="auto"/>
                <w:sz w:val="16"/>
                <w:szCs w:val="16"/>
                <w:lang w:val="en-US" w:eastAsia="zh-CN"/>
              </w:rPr>
              <w:t xml:space="preserve">     ～    </w:t>
            </w:r>
            <w:r>
              <w:rPr>
                <w:rFonts w:hint="eastAsia" w:asciiTheme="minorEastAsia" w:hAnsiTheme="minorEastAsia" w:cstheme="minorEastAsia"/>
                <w:color w:val="auto"/>
                <w:sz w:val="16"/>
                <w:szCs w:val="16"/>
                <w:lang w:eastAsia="zh-CN"/>
              </w:rPr>
              <w:t>）</w:t>
            </w:r>
          </w:p>
        </w:tc>
      </w:tr>
    </w:tbl>
    <w:p>
      <w:pPr>
        <w:pStyle w:val="44"/>
        <w:keepNext w:val="0"/>
        <w:keepLines w:val="0"/>
        <w:widowControl/>
        <w:suppressLineNumbers w:val="0"/>
        <w:spacing w:before="0" w:beforeAutospacing="1" w:after="0" w:afterAutospacing="1" w:line="240" w:lineRule="atLeast"/>
        <w:ind w:left="0" w:right="0" w:firstLine="602"/>
        <w:jc w:val="center"/>
        <w:rPr>
          <w:rFonts w:hint="eastAsia"/>
          <w:b/>
          <w:color w:val="auto"/>
          <w:lang w:val="en-US" w:eastAsia="zh-CN"/>
        </w:rPr>
      </w:pPr>
    </w:p>
    <w:p>
      <w:pPr>
        <w:pStyle w:val="44"/>
        <w:keepNext w:val="0"/>
        <w:keepLines w:val="0"/>
        <w:widowControl/>
        <w:suppressLineNumbers w:val="0"/>
        <w:spacing w:before="0" w:beforeAutospacing="1" w:after="0" w:afterAutospacing="1" w:line="240" w:lineRule="atLeast"/>
        <w:ind w:left="0" w:right="0" w:firstLine="602"/>
        <w:jc w:val="center"/>
        <w:rPr>
          <w:rFonts w:hint="eastAsia"/>
          <w:b/>
          <w:color w:val="auto"/>
          <w:lang w:val="en-US" w:eastAsia="zh-CN"/>
        </w:rPr>
      </w:pPr>
    </w:p>
    <w:p>
      <w:pPr>
        <w:pStyle w:val="44"/>
        <w:keepNext w:val="0"/>
        <w:keepLines w:val="0"/>
        <w:widowControl/>
        <w:suppressLineNumbers w:val="0"/>
        <w:spacing w:before="0" w:beforeAutospacing="1" w:after="0" w:afterAutospacing="1" w:line="240" w:lineRule="atLeast"/>
        <w:ind w:left="0" w:right="0" w:firstLine="602"/>
        <w:jc w:val="center"/>
        <w:rPr>
          <w:rFonts w:hint="eastAsia"/>
          <w:b/>
          <w:color w:val="auto"/>
          <w:lang w:val="en-US" w:eastAsia="zh-CN"/>
        </w:rPr>
      </w:pPr>
    </w:p>
    <w:p>
      <w:pPr>
        <w:pStyle w:val="44"/>
        <w:keepNext w:val="0"/>
        <w:keepLines w:val="0"/>
        <w:widowControl/>
        <w:suppressLineNumbers w:val="0"/>
        <w:spacing w:before="0" w:beforeAutospacing="1" w:after="0" w:afterAutospacing="1" w:line="240" w:lineRule="atLeast"/>
        <w:ind w:left="0" w:right="0" w:firstLine="602"/>
        <w:jc w:val="center"/>
        <w:rPr>
          <w:rFonts w:hint="eastAsia"/>
          <w:b/>
          <w:color w:val="auto"/>
          <w:lang w:val="en-US" w:eastAsia="zh-CN"/>
        </w:rPr>
      </w:pPr>
    </w:p>
    <w:p>
      <w:pPr>
        <w:pStyle w:val="44"/>
        <w:keepNext w:val="0"/>
        <w:keepLines w:val="0"/>
        <w:widowControl/>
        <w:suppressLineNumbers w:val="0"/>
        <w:spacing w:before="0" w:beforeAutospacing="1" w:after="0" w:afterAutospacing="1" w:line="240" w:lineRule="atLeast"/>
        <w:ind w:left="0" w:right="0" w:firstLine="602"/>
        <w:jc w:val="center"/>
        <w:rPr>
          <w:rFonts w:hint="eastAsia"/>
          <w:b/>
          <w:color w:val="auto"/>
          <w:lang w:val="en-US" w:eastAsia="zh-CN"/>
        </w:rPr>
      </w:pPr>
    </w:p>
    <w:p>
      <w:pPr>
        <w:pStyle w:val="44"/>
        <w:keepNext w:val="0"/>
        <w:keepLines w:val="0"/>
        <w:widowControl/>
        <w:suppressLineNumbers w:val="0"/>
        <w:spacing w:before="0" w:beforeAutospacing="1" w:after="0" w:afterAutospacing="1" w:line="240" w:lineRule="atLeast"/>
        <w:ind w:left="0" w:right="0" w:firstLine="602"/>
        <w:jc w:val="center"/>
        <w:rPr>
          <w:rFonts w:hint="eastAsia"/>
          <w:b/>
          <w:color w:val="auto"/>
          <w:lang w:val="en-US" w:eastAsia="zh-CN"/>
        </w:rPr>
      </w:pPr>
    </w:p>
    <w:bookmarkEnd w:id="375"/>
    <w:p>
      <w:pPr>
        <w:pStyle w:val="44"/>
        <w:keepNext w:val="0"/>
        <w:keepLines w:val="0"/>
        <w:widowControl/>
        <w:suppressLineNumbers w:val="0"/>
        <w:spacing w:before="0" w:beforeAutospacing="1" w:after="0" w:afterAutospacing="1" w:line="240" w:lineRule="atLeast"/>
        <w:ind w:right="0"/>
        <w:jc w:val="both"/>
        <w:rPr>
          <w:rFonts w:hint="eastAsia"/>
          <w:b/>
          <w:lang w:val="en-US" w:eastAsia="zh-CN"/>
        </w:rPr>
      </w:pPr>
    </w:p>
    <w:p>
      <w:pPr>
        <w:pStyle w:val="44"/>
        <w:keepNext w:val="0"/>
        <w:keepLines w:val="0"/>
        <w:widowControl/>
        <w:suppressLineNumbers w:val="0"/>
        <w:spacing w:before="0" w:beforeAutospacing="1" w:after="0" w:afterAutospacing="1" w:line="240" w:lineRule="atLeast"/>
        <w:ind w:left="0" w:right="0" w:firstLine="602"/>
        <w:jc w:val="center"/>
      </w:pPr>
      <w:r>
        <w:rPr>
          <w:b/>
        </w:rPr>
        <w:t>用户需求偏离表</w:t>
      </w:r>
      <w:r>
        <w:t xml:space="preserve"> </w:t>
      </w:r>
    </w:p>
    <w:p>
      <w:pPr>
        <w:pStyle w:val="44"/>
        <w:keepNext w:val="0"/>
        <w:keepLines w:val="0"/>
        <w:widowControl/>
        <w:suppressLineNumbers w:val="0"/>
        <w:spacing w:before="0" w:beforeAutospacing="1" w:after="0" w:afterAutospacing="1" w:line="400" w:lineRule="atLeast"/>
        <w:ind w:left="0" w:right="0" w:firstLine="527"/>
        <w:rPr>
          <w:color w:val="auto"/>
        </w:rPr>
      </w:pPr>
      <w:r>
        <w:rPr>
          <w:b/>
          <w:sz w:val="21"/>
          <w:szCs w:val="21"/>
        </w:rPr>
        <w:t>▲供应商应根据所投产品/服务的情况逐项如实填写“用户需求响应偏离表”并作为供应商评分的重要依据。如不按所投产品/服务实际响应情况</w:t>
      </w:r>
      <w:r>
        <w:rPr>
          <w:b/>
          <w:color w:val="000000"/>
          <w:sz w:val="21"/>
          <w:szCs w:val="21"/>
        </w:rPr>
        <w:t>填写或不填写，视为不符合采购文件要求，对应技术参数和商</w:t>
      </w:r>
      <w:r>
        <w:rPr>
          <w:b/>
          <w:color w:val="auto"/>
          <w:sz w:val="21"/>
          <w:szCs w:val="21"/>
        </w:rPr>
        <w:t>务参数不得分，由此产生的不良后果由供应商自行负责。</w:t>
      </w:r>
      <w:r>
        <w:rPr>
          <w:color w:val="auto"/>
        </w:rPr>
        <w:t xml:space="preserve"> </w:t>
      </w:r>
    </w:p>
    <w:p>
      <w:pPr>
        <w:pStyle w:val="44"/>
        <w:keepNext w:val="0"/>
        <w:keepLines w:val="0"/>
        <w:widowControl/>
        <w:suppressLineNumbers w:val="0"/>
        <w:spacing w:before="0" w:beforeAutospacing="1" w:after="0" w:afterAutospacing="1" w:line="400" w:lineRule="atLeast"/>
        <w:ind w:left="0" w:right="0" w:firstLine="527"/>
        <w:jc w:val="center"/>
        <w:rPr>
          <w:rFonts w:hint="eastAsia"/>
          <w:b/>
          <w:bCs/>
          <w:color w:val="auto"/>
          <w:sz w:val="28"/>
          <w:szCs w:val="28"/>
          <w:lang w:val="en-US" w:eastAsia="zh-CN"/>
        </w:rPr>
      </w:pPr>
      <w:bookmarkStart w:id="376" w:name="OLE_LINK34"/>
    </w:p>
    <w:p>
      <w:pPr>
        <w:pStyle w:val="44"/>
        <w:keepNext w:val="0"/>
        <w:keepLines w:val="0"/>
        <w:widowControl/>
        <w:suppressLineNumbers w:val="0"/>
        <w:spacing w:before="0" w:beforeAutospacing="1" w:after="0" w:afterAutospacing="1" w:line="400" w:lineRule="atLeast"/>
        <w:ind w:left="0" w:right="0" w:firstLine="527"/>
        <w:jc w:val="center"/>
        <w:rPr>
          <w:color w:val="auto"/>
        </w:rPr>
      </w:pPr>
      <w:bookmarkStart w:id="377" w:name="OLE_LINK35"/>
      <w:r>
        <w:rPr>
          <w:rFonts w:hint="eastAsia"/>
          <w:b/>
          <w:bCs/>
          <w:color w:val="auto"/>
          <w:sz w:val="28"/>
          <w:szCs w:val="28"/>
          <w:lang w:val="en-US" w:eastAsia="zh-CN"/>
        </w:rPr>
        <w:t>技术部分</w:t>
      </w:r>
      <w:bookmarkEnd w:id="376"/>
    </w:p>
    <w:bookmarkEnd w:id="377"/>
    <w:p>
      <w:pPr>
        <w:numPr>
          <w:ilvl w:val="0"/>
          <w:numId w:val="0"/>
        </w:numPr>
        <w:spacing w:line="360" w:lineRule="auto"/>
        <w:ind w:left="420" w:leftChars="0"/>
        <w:rPr>
          <w:rFonts w:hint="eastAsia" w:asciiTheme="minorEastAsia" w:hAnsiTheme="minorEastAsia" w:eastAsiaTheme="minorEastAsia" w:cstheme="minorEastAsia"/>
          <w:b/>
          <w:color w:val="auto"/>
          <w:sz w:val="21"/>
          <w:szCs w:val="21"/>
        </w:rPr>
      </w:pPr>
      <w:r>
        <w:rPr>
          <w:rFonts w:hint="eastAsia" w:ascii="宋体" w:hAnsi="宋体" w:cs="宋体"/>
          <w:b/>
          <w:bCs/>
          <w:color w:val="auto"/>
          <w:szCs w:val="21"/>
          <w:highlight w:val="none"/>
        </w:rPr>
        <w:t>具体技术(参数)要求</w:t>
      </w:r>
    </w:p>
    <w:tbl>
      <w:tblPr>
        <w:tblStyle w:val="4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numPr>
          <w:ilvl w:val="0"/>
          <w:numId w:val="0"/>
        </w:numPr>
        <w:spacing w:line="360" w:lineRule="auto"/>
        <w:rPr>
          <w:rFonts w:hint="eastAsia" w:asciiTheme="minorEastAsia" w:hAnsiTheme="minorEastAsia" w:eastAsiaTheme="minorEastAsia" w:cstheme="minorEastAsia"/>
          <w:b/>
          <w:color w:val="auto"/>
          <w:sz w:val="21"/>
          <w:szCs w:val="21"/>
        </w:rPr>
      </w:pPr>
    </w:p>
    <w:p>
      <w:pPr>
        <w:pStyle w:val="44"/>
        <w:keepNext w:val="0"/>
        <w:keepLines w:val="0"/>
        <w:widowControl/>
        <w:suppressLineNumbers w:val="0"/>
        <w:spacing w:before="0" w:beforeAutospacing="1" w:after="0" w:afterAutospacing="1" w:line="400" w:lineRule="atLeast"/>
        <w:ind w:left="0" w:right="0" w:firstLine="527"/>
        <w:jc w:val="center"/>
        <w:rPr>
          <w:rFonts w:hint="eastAsia"/>
          <w:b/>
          <w:bCs/>
          <w:color w:val="auto"/>
          <w:sz w:val="28"/>
          <w:szCs w:val="28"/>
          <w:lang w:val="en-US" w:eastAsia="zh-CN"/>
        </w:rPr>
      </w:pPr>
    </w:p>
    <w:p>
      <w:pPr>
        <w:pStyle w:val="44"/>
        <w:keepNext w:val="0"/>
        <w:keepLines w:val="0"/>
        <w:widowControl/>
        <w:suppressLineNumbers w:val="0"/>
        <w:spacing w:before="0" w:beforeAutospacing="1" w:after="0" w:afterAutospacing="1" w:line="400" w:lineRule="atLeast"/>
        <w:ind w:left="0" w:right="0" w:firstLine="527"/>
        <w:jc w:val="center"/>
        <w:rPr>
          <w:rFonts w:hint="eastAsia" w:asciiTheme="minorEastAsia" w:hAnsiTheme="minorEastAsia" w:eastAsiaTheme="minorEastAsia" w:cstheme="minorEastAsia"/>
          <w:b/>
          <w:color w:val="auto"/>
          <w:sz w:val="21"/>
          <w:szCs w:val="21"/>
        </w:rPr>
      </w:pPr>
      <w:r>
        <w:rPr>
          <w:rFonts w:hint="eastAsia"/>
          <w:b/>
          <w:bCs/>
          <w:color w:val="auto"/>
          <w:sz w:val="28"/>
          <w:szCs w:val="28"/>
          <w:lang w:val="en-US" w:eastAsia="zh-CN"/>
        </w:rPr>
        <w:t>商务部分</w:t>
      </w:r>
    </w:p>
    <w:p>
      <w:pPr>
        <w:numPr>
          <w:ilvl w:val="0"/>
          <w:numId w:val="13"/>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售后服务要求</w:t>
      </w:r>
    </w:p>
    <w:tbl>
      <w:tblPr>
        <w:tblStyle w:val="4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numPr>
          <w:ilvl w:val="0"/>
          <w:numId w:val="13"/>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安装、调试、培训</w:t>
      </w:r>
    </w:p>
    <w:tbl>
      <w:tblPr>
        <w:tblStyle w:val="4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numPr>
          <w:ilvl w:val="0"/>
          <w:numId w:val="13"/>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验收</w:t>
      </w:r>
    </w:p>
    <w:tbl>
      <w:tblPr>
        <w:tblStyle w:val="4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numPr>
          <w:ilvl w:val="0"/>
          <w:numId w:val="13"/>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付款方式</w:t>
      </w:r>
    </w:p>
    <w:tbl>
      <w:tblPr>
        <w:tblStyle w:val="4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numPr>
          <w:ilvl w:val="0"/>
          <w:numId w:val="13"/>
        </w:numPr>
        <w:spacing w:line="360" w:lineRule="auto"/>
        <w:ind w:left="0" w:leftChars="0" w:firstLine="420" w:firstLineChars="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合同</w:t>
      </w:r>
      <w:bookmarkStart w:id="378" w:name="OLE_LINK49"/>
      <w:r>
        <w:rPr>
          <w:rFonts w:hint="eastAsia" w:asciiTheme="minorEastAsia" w:hAnsiTheme="minorEastAsia" w:eastAsiaTheme="minorEastAsia" w:cstheme="minorEastAsia"/>
          <w:b/>
          <w:color w:val="auto"/>
          <w:sz w:val="21"/>
          <w:szCs w:val="21"/>
          <w:lang w:val="en-US" w:eastAsia="zh-CN"/>
        </w:rPr>
        <w:t>模板</w:t>
      </w:r>
      <w:r>
        <w:rPr>
          <w:rFonts w:hint="eastAsia" w:asciiTheme="minorEastAsia" w:hAnsiTheme="minorEastAsia" w:eastAsiaTheme="minorEastAsia" w:cstheme="minorEastAsia"/>
          <w:b/>
          <w:color w:val="auto"/>
          <w:sz w:val="21"/>
          <w:szCs w:val="21"/>
        </w:rPr>
        <w:t>条款</w:t>
      </w:r>
      <w:bookmarkEnd w:id="378"/>
    </w:p>
    <w:tbl>
      <w:tblPr>
        <w:tblStyle w:val="4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363"/>
        <w:gridCol w:w="2126"/>
        <w:gridCol w:w="1701"/>
        <w:gridCol w:w="2144"/>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院方需求</w:t>
            </w: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实际参数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是否偏离</w:t>
            </w:r>
          </w:p>
        </w:tc>
        <w:tc>
          <w:tcPr>
            <w:tcW w:w="21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bCs/>
                <w:color w:val="auto"/>
                <w:kern w:val="0"/>
                <w:sz w:val="21"/>
                <w:szCs w:val="21"/>
              </w:rPr>
              <w:t>页码范围</w:t>
            </w:r>
          </w:p>
        </w:tc>
        <w:tc>
          <w:tcPr>
            <w:tcW w:w="6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Cs/>
                <w:color w:val="auto"/>
                <w:sz w:val="21"/>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c>
          <w:tcPr>
            <w:tcW w:w="214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21"/>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color w:val="auto"/>
                <w:sz w:val="21"/>
                <w:szCs w:val="21"/>
              </w:rPr>
              <w:t>第(   ～    )页</w:t>
            </w:r>
          </w:p>
        </w:tc>
        <w:tc>
          <w:tcPr>
            <w:tcW w:w="698"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color w:val="auto"/>
                <w:sz w:val="21"/>
                <w:szCs w:val="21"/>
              </w:rPr>
            </w:pPr>
          </w:p>
        </w:tc>
      </w:tr>
    </w:tbl>
    <w:p>
      <w:pPr>
        <w:pStyle w:val="44"/>
        <w:keepNext w:val="0"/>
        <w:keepLines w:val="0"/>
        <w:widowControl/>
        <w:suppressLineNumbers w:val="0"/>
        <w:spacing w:before="0" w:beforeAutospacing="1" w:after="0" w:afterAutospacing="1" w:line="400" w:lineRule="atLeast"/>
        <w:ind w:left="0" w:right="0" w:firstLine="527"/>
        <w:rPr>
          <w:rFonts w:hint="eastAsia" w:asciiTheme="minorEastAsia" w:hAnsiTheme="minorEastAsia" w:eastAsiaTheme="minorEastAsia" w:cstheme="minorEastAsia"/>
          <w:color w:val="auto"/>
          <w:sz w:val="21"/>
          <w:szCs w:val="21"/>
        </w:rPr>
      </w:pPr>
    </w:p>
    <w:p>
      <w:pPr>
        <w:pStyle w:val="7"/>
        <w:outlineLvl w:val="9"/>
        <w:rPr>
          <w:rFonts w:hint="eastAsia" w:asciiTheme="minorEastAsia" w:hAnsiTheme="minorEastAsia" w:eastAsiaTheme="minorEastAsia" w:cstheme="minorEastAsia"/>
          <w:color w:val="auto"/>
          <w:sz w:val="21"/>
          <w:szCs w:val="21"/>
          <w:highlight w:val="none"/>
        </w:rPr>
      </w:pPr>
    </w:p>
    <w:p>
      <w:pPr>
        <w:pStyle w:val="7"/>
        <w:outlineLvl w:val="9"/>
        <w:rPr>
          <w:rFonts w:hint="eastAsia" w:asciiTheme="minorEastAsia" w:hAnsiTheme="minorEastAsia" w:eastAsiaTheme="minorEastAsia" w:cstheme="minorEastAsia"/>
          <w:color w:val="auto"/>
          <w:sz w:val="21"/>
          <w:szCs w:val="21"/>
          <w:highlight w:val="none"/>
        </w:rPr>
      </w:pPr>
    </w:p>
    <w:p>
      <w:pPr>
        <w:pStyle w:val="7"/>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int="eastAsia" w:asciiTheme="minorEastAsia" w:hAnsiTheme="minorEastAsia" w:eastAsiaTheme="minorEastAsia" w:cstheme="minorEastAsia"/>
          <w:color w:val="auto"/>
          <w:sz w:val="21"/>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7"/>
        <w:ind w:left="0" w:leftChars="0" w:firstLine="0" w:firstLineChars="0"/>
        <w:outlineLvl w:val="9"/>
        <w:rPr>
          <w:rFonts w:hAnsi="宋体" w:cs="宋体"/>
          <w:color w:val="auto"/>
          <w:szCs w:val="21"/>
          <w:highlight w:val="none"/>
        </w:rPr>
      </w:pPr>
    </w:p>
    <w:p>
      <w:pPr>
        <w:pStyle w:val="44"/>
        <w:keepNext w:val="0"/>
        <w:keepLines w:val="0"/>
        <w:widowControl/>
        <w:suppressLineNumbers w:val="0"/>
        <w:spacing w:before="0" w:beforeAutospacing="1" w:after="0" w:afterAutospacing="1" w:line="27" w:lineRule="atLeast"/>
        <w:ind w:left="0" w:right="0" w:firstLine="703"/>
        <w:jc w:val="center"/>
      </w:pPr>
      <w:bookmarkStart w:id="379" w:name="OLE_LINK50"/>
      <w:r>
        <w:rPr>
          <w:b/>
          <w:sz w:val="28"/>
          <w:szCs w:val="28"/>
        </w:rPr>
        <w:t>2021年1月1日</w:t>
      </w:r>
      <w:bookmarkEnd w:id="379"/>
      <w:r>
        <w:rPr>
          <w:b/>
          <w:sz w:val="28"/>
          <w:szCs w:val="28"/>
        </w:rPr>
        <w:t>以来</w:t>
      </w:r>
      <w:r>
        <w:rPr>
          <w:rFonts w:hint="eastAsia"/>
          <w:b/>
          <w:sz w:val="28"/>
          <w:szCs w:val="28"/>
          <w:lang w:val="en-US" w:eastAsia="zh-CN"/>
        </w:rPr>
        <w:t>业绩</w:t>
      </w:r>
      <w:r>
        <w:rPr>
          <w:b/>
          <w:sz w:val="28"/>
          <w:szCs w:val="28"/>
        </w:rPr>
        <w:t>一览表</w:t>
      </w:r>
      <w:r>
        <w:t xml:space="preserve"> </w:t>
      </w:r>
    </w:p>
    <w:tbl>
      <w:tblPr>
        <w:tblStyle w:val="48"/>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2079"/>
        <w:gridCol w:w="1594"/>
        <w:gridCol w:w="2048"/>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b/>
                <w:sz w:val="24"/>
              </w:rPr>
            </w:pPr>
            <w:r>
              <w:rPr>
                <w:rFonts w:hint="eastAsia" w:ascii="宋体" w:hAnsi="宋体"/>
                <w:b/>
                <w:sz w:val="24"/>
              </w:rPr>
              <w:t>序号</w:t>
            </w:r>
          </w:p>
        </w:tc>
        <w:tc>
          <w:tcPr>
            <w:tcW w:w="2079" w:type="dxa"/>
            <w:vAlign w:val="center"/>
          </w:tcPr>
          <w:p>
            <w:pPr>
              <w:spacing w:line="360" w:lineRule="auto"/>
              <w:jc w:val="center"/>
              <w:rPr>
                <w:rFonts w:ascii="宋体" w:hAnsi="宋体"/>
                <w:b/>
                <w:sz w:val="24"/>
              </w:rPr>
            </w:pPr>
            <w:r>
              <w:rPr>
                <w:rFonts w:hint="eastAsia" w:ascii="宋体" w:hAnsi="宋体"/>
                <w:b/>
                <w:sz w:val="24"/>
              </w:rPr>
              <w:t>业主名称</w:t>
            </w:r>
          </w:p>
        </w:tc>
        <w:tc>
          <w:tcPr>
            <w:tcW w:w="1594" w:type="dxa"/>
            <w:vAlign w:val="center"/>
          </w:tcPr>
          <w:p>
            <w:pPr>
              <w:spacing w:line="360" w:lineRule="auto"/>
              <w:jc w:val="center"/>
              <w:rPr>
                <w:rFonts w:ascii="宋体" w:hAnsi="宋体"/>
                <w:b/>
                <w:sz w:val="24"/>
              </w:rPr>
            </w:pPr>
            <w:r>
              <w:rPr>
                <w:rFonts w:hint="eastAsia" w:ascii="宋体" w:hAnsi="宋体"/>
                <w:b/>
                <w:sz w:val="24"/>
              </w:rPr>
              <w:t>项目名称</w:t>
            </w:r>
          </w:p>
        </w:tc>
        <w:tc>
          <w:tcPr>
            <w:tcW w:w="2048" w:type="dxa"/>
            <w:vAlign w:val="center"/>
          </w:tcPr>
          <w:p>
            <w:pPr>
              <w:spacing w:line="360" w:lineRule="auto"/>
              <w:jc w:val="center"/>
              <w:rPr>
                <w:rFonts w:ascii="宋体" w:hAnsi="宋体"/>
                <w:b/>
                <w:sz w:val="24"/>
              </w:rPr>
            </w:pPr>
            <w:r>
              <w:rPr>
                <w:rFonts w:hint="eastAsia" w:ascii="宋体" w:hAnsi="宋体"/>
                <w:b/>
                <w:sz w:val="24"/>
              </w:rPr>
              <w:t>合同总价</w:t>
            </w:r>
          </w:p>
        </w:tc>
        <w:tc>
          <w:tcPr>
            <w:tcW w:w="1594" w:type="dxa"/>
            <w:vAlign w:val="center"/>
          </w:tcPr>
          <w:p>
            <w:pPr>
              <w:spacing w:line="360" w:lineRule="auto"/>
              <w:jc w:val="center"/>
              <w:rPr>
                <w:rFonts w:ascii="宋体" w:hAnsi="宋体"/>
                <w:b/>
                <w:sz w:val="24"/>
              </w:rPr>
            </w:pPr>
            <w:r>
              <w:rPr>
                <w:rFonts w:hint="eastAsia" w:ascii="宋体" w:hAnsi="宋体"/>
                <w:b/>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1</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2</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82" w:type="dxa"/>
            <w:vAlign w:val="center"/>
          </w:tcPr>
          <w:p>
            <w:pPr>
              <w:spacing w:line="360" w:lineRule="auto"/>
              <w:jc w:val="center"/>
              <w:rPr>
                <w:rFonts w:ascii="宋体" w:hAnsi="宋体"/>
                <w:sz w:val="24"/>
              </w:rPr>
            </w:pPr>
            <w:r>
              <w:rPr>
                <w:rFonts w:hint="eastAsia" w:ascii="宋体" w:hAnsi="宋体"/>
                <w:sz w:val="24"/>
              </w:rPr>
              <w:t>小计</w:t>
            </w:r>
          </w:p>
        </w:tc>
        <w:tc>
          <w:tcPr>
            <w:tcW w:w="2079"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c>
          <w:tcPr>
            <w:tcW w:w="2048" w:type="dxa"/>
            <w:vAlign w:val="center"/>
          </w:tcPr>
          <w:p>
            <w:pPr>
              <w:spacing w:line="360" w:lineRule="auto"/>
              <w:jc w:val="center"/>
              <w:rPr>
                <w:rFonts w:ascii="宋体" w:hAnsi="宋体"/>
                <w:sz w:val="24"/>
              </w:rPr>
            </w:pPr>
          </w:p>
        </w:tc>
        <w:tc>
          <w:tcPr>
            <w:tcW w:w="1594" w:type="dxa"/>
            <w:vAlign w:val="center"/>
          </w:tcPr>
          <w:p>
            <w:pPr>
              <w:spacing w:line="360" w:lineRule="auto"/>
              <w:jc w:val="center"/>
              <w:rPr>
                <w:rFonts w:ascii="宋体" w:hAnsi="宋体"/>
                <w:sz w:val="24"/>
              </w:rPr>
            </w:pPr>
          </w:p>
        </w:tc>
      </w:tr>
    </w:tbl>
    <w:p>
      <w:pPr>
        <w:spacing w:line="360" w:lineRule="auto"/>
        <w:ind w:left="525" w:leftChars="150" w:hanging="210" w:hangingChars="100"/>
        <w:rPr>
          <w:rFonts w:hint="eastAsia" w:ascii="宋体" w:hAnsi="宋体"/>
          <w:b w:val="0"/>
          <w:bCs/>
          <w:sz w:val="21"/>
          <w:szCs w:val="21"/>
        </w:rPr>
      </w:pPr>
      <w:bookmarkStart w:id="380" w:name="_Hlt10548694"/>
    </w:p>
    <w:p>
      <w:pPr>
        <w:spacing w:line="360" w:lineRule="auto"/>
        <w:ind w:left="525" w:leftChars="150" w:hanging="210" w:hangingChars="100"/>
        <w:rPr>
          <w:rFonts w:hint="default" w:ascii="宋体" w:hAnsi="宋体"/>
          <w:b/>
          <w:bCs w:val="0"/>
          <w:color w:val="FF0000"/>
          <w:sz w:val="21"/>
          <w:szCs w:val="21"/>
          <w:lang w:val="en-US" w:eastAsia="zh-CN"/>
        </w:rPr>
      </w:pPr>
      <w:r>
        <w:rPr>
          <w:rFonts w:hint="eastAsia" w:ascii="宋体" w:hAnsi="宋体"/>
          <w:b w:val="0"/>
          <w:bCs/>
          <w:sz w:val="21"/>
          <w:szCs w:val="21"/>
        </w:rPr>
        <w:t>注：</w:t>
      </w:r>
      <w:bookmarkEnd w:id="380"/>
      <w:r>
        <w:rPr>
          <w:rFonts w:hint="eastAsia" w:ascii="宋体" w:hAnsi="宋体"/>
          <w:b/>
          <w:bCs w:val="0"/>
          <w:color w:val="FF0000"/>
          <w:sz w:val="21"/>
          <w:szCs w:val="21"/>
          <w:lang w:val="en-US" w:eastAsia="zh-CN"/>
        </w:rPr>
        <w:t>1.同类业绩是指与本项目所投产品一致且成交供应商为响应单位的业绩。</w:t>
      </w:r>
    </w:p>
    <w:p>
      <w:pPr>
        <w:spacing w:line="360" w:lineRule="auto"/>
        <w:ind w:left="525" w:leftChars="250" w:firstLine="210" w:firstLineChars="100"/>
        <w:rPr>
          <w:rFonts w:hint="default" w:ascii="宋体" w:hAnsi="宋体" w:eastAsia="宋体"/>
          <w:b/>
          <w:sz w:val="24"/>
          <w:lang w:val="en-US" w:eastAsia="zh-CN"/>
        </w:rPr>
      </w:pPr>
      <w:r>
        <w:rPr>
          <w:rFonts w:hint="eastAsia" w:ascii="宋体" w:hAnsi="宋体"/>
          <w:b w:val="0"/>
          <w:bCs/>
          <w:sz w:val="21"/>
          <w:szCs w:val="21"/>
          <w:lang w:val="en-US" w:eastAsia="zh-CN"/>
        </w:rPr>
        <w:t>2.</w:t>
      </w:r>
      <w:r>
        <w:rPr>
          <w:rFonts w:hint="eastAsia" w:ascii="宋体" w:hAnsi="宋体"/>
          <w:b w:val="0"/>
          <w:bCs/>
          <w:sz w:val="21"/>
          <w:szCs w:val="21"/>
        </w:rPr>
        <w:t>需</w:t>
      </w:r>
      <w:r>
        <w:rPr>
          <w:rFonts w:hint="eastAsia" w:ascii="宋体" w:hAnsi="宋体"/>
          <w:b w:val="0"/>
          <w:bCs/>
          <w:sz w:val="21"/>
          <w:szCs w:val="21"/>
          <w:lang w:val="en-US" w:eastAsia="zh-CN"/>
        </w:rPr>
        <w:t>附上</w:t>
      </w:r>
      <w:r>
        <w:rPr>
          <w:rFonts w:hint="eastAsia" w:ascii="宋体" w:hAnsi="宋体"/>
          <w:b w:val="0"/>
          <w:bCs/>
          <w:sz w:val="21"/>
          <w:szCs w:val="21"/>
        </w:rPr>
        <w:t>合同关键页复印件</w:t>
      </w:r>
      <w:r>
        <w:rPr>
          <w:rFonts w:hint="eastAsia" w:ascii="宋体" w:hAnsi="宋体"/>
          <w:b w:val="0"/>
          <w:bCs/>
          <w:sz w:val="21"/>
          <w:szCs w:val="21"/>
          <w:lang w:eastAsia="zh-CN"/>
        </w:rPr>
        <w:t>、</w:t>
      </w:r>
      <w:r>
        <w:rPr>
          <w:rFonts w:hint="eastAsia" w:ascii="宋体" w:hAnsi="宋体"/>
          <w:b w:val="0"/>
          <w:bCs/>
          <w:sz w:val="21"/>
          <w:szCs w:val="21"/>
        </w:rPr>
        <w:t>中标通知书</w:t>
      </w:r>
      <w:r>
        <w:rPr>
          <w:rFonts w:hint="eastAsia" w:ascii="宋体" w:hAnsi="宋体"/>
          <w:b w:val="0"/>
          <w:bCs/>
          <w:sz w:val="21"/>
          <w:szCs w:val="21"/>
          <w:lang w:eastAsia="zh-CN"/>
        </w:rPr>
        <w:t>、</w:t>
      </w:r>
      <w:r>
        <w:rPr>
          <w:rFonts w:hint="eastAsia" w:ascii="宋体" w:hAnsi="宋体"/>
          <w:b w:val="0"/>
          <w:bCs/>
          <w:sz w:val="21"/>
          <w:szCs w:val="21"/>
        </w:rPr>
        <w:t>成交通知书复印件</w:t>
      </w:r>
      <w:r>
        <w:rPr>
          <w:rFonts w:hint="eastAsia" w:ascii="宋体" w:hAnsi="宋体"/>
          <w:b w:val="0"/>
          <w:bCs/>
          <w:sz w:val="21"/>
          <w:szCs w:val="21"/>
          <w:lang w:val="en-US" w:eastAsia="zh-CN"/>
        </w:rPr>
        <w:t>其中一种</w:t>
      </w:r>
      <w:r>
        <w:rPr>
          <w:rFonts w:hint="eastAsia" w:ascii="宋体" w:hAnsi="宋体"/>
          <w:b w:val="0"/>
          <w:bCs/>
          <w:sz w:val="21"/>
          <w:szCs w:val="21"/>
        </w:rPr>
        <w:t>并加盖供应商公司公章</w:t>
      </w:r>
      <w:r>
        <w:rPr>
          <w:rFonts w:hint="eastAsia" w:ascii="宋体" w:hAnsi="宋体"/>
          <w:b w:val="0"/>
          <w:bCs/>
          <w:sz w:val="21"/>
          <w:szCs w:val="21"/>
          <w:lang w:eastAsia="zh-CN"/>
        </w:rPr>
        <w:t>，</w:t>
      </w:r>
      <w:r>
        <w:rPr>
          <w:rFonts w:hint="eastAsia" w:ascii="宋体" w:hAnsi="宋体"/>
          <w:b w:val="0"/>
          <w:bCs/>
          <w:sz w:val="21"/>
          <w:szCs w:val="21"/>
          <w:lang w:val="en-US" w:eastAsia="zh-CN"/>
        </w:rPr>
        <w:t>否则不得分</w:t>
      </w:r>
      <w:r>
        <w:rPr>
          <w:rFonts w:hint="eastAsia" w:ascii="宋体" w:hAnsi="宋体"/>
          <w:b/>
          <w:sz w:val="24"/>
          <w:lang w:val="en-US" w:eastAsia="zh-CN"/>
        </w:rPr>
        <w:t>。</w:t>
      </w:r>
    </w:p>
    <w:p>
      <w:pPr>
        <w:outlineLvl w:val="9"/>
        <w:rPr>
          <w:color w:val="auto"/>
          <w:highlight w:val="none"/>
        </w:rPr>
      </w:pPr>
      <w:bookmarkStart w:id="381" w:name="_Toc2592074"/>
      <w:bookmarkStart w:id="382" w:name="_Toc12836"/>
      <w:bookmarkStart w:id="383" w:name="_Toc2094515"/>
      <w:bookmarkStart w:id="384" w:name="_Toc454820102"/>
      <w:bookmarkStart w:id="385" w:name="_Toc26547"/>
      <w:bookmarkStart w:id="386" w:name="_Toc478396022"/>
    </w:p>
    <w:p>
      <w:pPr>
        <w:pStyle w:val="7"/>
        <w:outlineLvl w:val="9"/>
        <w:rPr>
          <w:rFonts w:hint="eastAsia" w:hAnsi="Times New Roman"/>
          <w:color w:val="auto"/>
          <w:sz w:val="21"/>
          <w:highlight w:val="none"/>
        </w:rPr>
      </w:pPr>
      <w:r>
        <w:rPr>
          <w:rFonts w:hint="eastAsia" w:hAnsi="Times New Roman"/>
          <w:color w:val="auto"/>
          <w:sz w:val="21"/>
          <w:highlight w:val="none"/>
        </w:rPr>
        <w:br w:type="page"/>
      </w:r>
    </w:p>
    <w:p>
      <w:pPr>
        <w:jc w:val="center"/>
        <w:rPr>
          <w:b/>
          <w:sz w:val="24"/>
          <w:szCs w:val="24"/>
        </w:rPr>
      </w:pPr>
      <w:r>
        <w:rPr>
          <w:b/>
          <w:sz w:val="24"/>
          <w:szCs w:val="24"/>
        </w:rPr>
        <w:t>公平竞争承诺书</w:t>
      </w:r>
    </w:p>
    <w:p>
      <w:pPr>
        <w:spacing w:line="360" w:lineRule="auto"/>
        <w:ind w:firstLine="420" w:firstLineChars="200"/>
        <w:rPr>
          <w:sz w:val="21"/>
          <w:szCs w:val="21"/>
        </w:rPr>
      </w:pPr>
    </w:p>
    <w:p>
      <w:pPr>
        <w:spacing w:line="360" w:lineRule="auto"/>
        <w:ind w:firstLine="420" w:firstLineChars="200"/>
        <w:rPr>
          <w:sz w:val="21"/>
          <w:szCs w:val="21"/>
        </w:rPr>
      </w:pPr>
      <w:r>
        <w:rPr>
          <w:sz w:val="21"/>
          <w:szCs w:val="21"/>
        </w:rPr>
        <w:t>本公司郑重承诺：本公司保证所提交的相关资质文件和证明材料的真实性，有良好的历史诚信记录，并将依法参与</w:t>
      </w:r>
      <w:r>
        <w:rPr>
          <w:sz w:val="21"/>
          <w:szCs w:val="21"/>
          <w:u w:val="single"/>
        </w:rPr>
        <w:t xml:space="preserve"> </w:t>
      </w:r>
      <w:r>
        <w:rPr>
          <w:rFonts w:hint="eastAsia"/>
          <w:sz w:val="21"/>
          <w:szCs w:val="21"/>
          <w:u w:val="single"/>
          <w:lang w:val="en-US" w:eastAsia="zh-CN"/>
        </w:rPr>
        <w:t xml:space="preserve">        （</w:t>
      </w:r>
      <w:r>
        <w:rPr>
          <w:sz w:val="21"/>
          <w:szCs w:val="21"/>
          <w:u w:val="single"/>
        </w:rPr>
        <w:t>项目名称</w:t>
      </w:r>
      <w:r>
        <w:rPr>
          <w:rFonts w:hint="eastAsia"/>
          <w:sz w:val="21"/>
          <w:szCs w:val="21"/>
          <w:u w:val="single"/>
          <w:lang w:val="en-US" w:eastAsia="zh-CN"/>
        </w:rPr>
        <w:t>）</w:t>
      </w:r>
      <w:r>
        <w:rPr>
          <w:sz w:val="21"/>
          <w:szCs w:val="21"/>
        </w:rPr>
        <w:t xml:space="preserve">的公平竞争，不以任何不正当行为谋取不当利益，否则承担相应的法律责任。  </w:t>
      </w:r>
    </w:p>
    <w:p>
      <w:pPr>
        <w:rPr>
          <w:b/>
          <w:sz w:val="21"/>
          <w:szCs w:val="21"/>
        </w:rPr>
      </w:pPr>
    </w:p>
    <w:p>
      <w:pPr>
        <w:rPr>
          <w:b/>
          <w:sz w:val="21"/>
          <w:szCs w:val="21"/>
        </w:rPr>
      </w:pPr>
    </w:p>
    <w:p>
      <w:pPr>
        <w:rPr>
          <w:b/>
          <w:sz w:val="21"/>
          <w:szCs w:val="21"/>
        </w:rPr>
      </w:pPr>
    </w:p>
    <w:p>
      <w:pPr>
        <w:rPr>
          <w:b/>
          <w:sz w:val="21"/>
          <w:szCs w:val="21"/>
        </w:rPr>
      </w:pPr>
    </w:p>
    <w:p>
      <w:pPr>
        <w:rPr>
          <w:b/>
          <w:sz w:val="21"/>
          <w:szCs w:val="21"/>
        </w:rPr>
      </w:pPr>
    </w:p>
    <w:p>
      <w:pPr>
        <w:spacing w:line="360" w:lineRule="auto"/>
        <w:jc w:val="left"/>
        <w:rPr>
          <w:sz w:val="21"/>
          <w:szCs w:val="21"/>
        </w:rPr>
      </w:pPr>
      <w:r>
        <w:rPr>
          <w:b/>
          <w:sz w:val="21"/>
          <w:szCs w:val="21"/>
        </w:rPr>
        <w:t xml:space="preserve">   </w:t>
      </w:r>
      <w:r>
        <w:rPr>
          <w:rFonts w:hint="eastAsia"/>
          <w:b/>
          <w:sz w:val="21"/>
          <w:szCs w:val="21"/>
        </w:rPr>
        <w:t xml:space="preserve">                       </w:t>
      </w:r>
      <w:r>
        <w:rPr>
          <w:sz w:val="21"/>
          <w:szCs w:val="21"/>
        </w:rPr>
        <w:t>公司名称</w:t>
      </w:r>
      <w:r>
        <w:rPr>
          <w:rFonts w:hint="eastAsia"/>
          <w:sz w:val="21"/>
          <w:szCs w:val="21"/>
        </w:rPr>
        <w:t>：（</w:t>
      </w:r>
      <w:r>
        <w:rPr>
          <w:sz w:val="21"/>
          <w:szCs w:val="21"/>
        </w:rPr>
        <w:t>加盖公章</w:t>
      </w:r>
      <w:r>
        <w:rPr>
          <w:rFonts w:hint="eastAsia"/>
          <w:sz w:val="21"/>
          <w:szCs w:val="21"/>
        </w:rPr>
        <w:t>）</w:t>
      </w:r>
    </w:p>
    <w:p>
      <w:pPr>
        <w:spacing w:line="360" w:lineRule="auto"/>
        <w:ind w:right="560" w:firstLine="3150" w:firstLineChars="1500"/>
        <w:rPr>
          <w:sz w:val="21"/>
          <w:szCs w:val="21"/>
        </w:rPr>
      </w:pPr>
      <w:r>
        <w:rPr>
          <w:sz w:val="21"/>
          <w:szCs w:val="21"/>
        </w:rPr>
        <w:t>时间：  年    月   日</w:t>
      </w:r>
    </w:p>
    <w:p>
      <w:pPr>
        <w:spacing w:line="400" w:lineRule="exact"/>
        <w:rPr>
          <w:rFonts w:ascii="宋体" w:hAnsi="宋体"/>
          <w:b/>
          <w:sz w:val="36"/>
          <w:szCs w:val="36"/>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jc w:val="center"/>
        <w:rPr>
          <w:rFonts w:hint="eastAsia" w:ascii="宋体" w:hAnsi="宋体" w:eastAsia="宋体" w:cs="宋体"/>
          <w:b/>
          <w:sz w:val="24"/>
          <w:szCs w:val="24"/>
          <w:lang w:val="en-US" w:eastAsia="zh-CN"/>
        </w:rPr>
      </w:pPr>
      <w:r>
        <w:rPr>
          <w:rFonts w:hint="eastAsia" w:ascii="宋体" w:hAnsi="宋体" w:eastAsia="宋体" w:cs="宋体"/>
          <w:b/>
          <w:kern w:val="0"/>
          <w:sz w:val="24"/>
          <w:szCs w:val="24"/>
        </w:rPr>
        <w:t>无专机专用耗材</w:t>
      </w:r>
      <w:r>
        <w:rPr>
          <w:rFonts w:hint="eastAsia" w:ascii="宋体" w:hAnsi="宋体" w:eastAsia="宋体" w:cs="宋体"/>
          <w:b/>
          <w:kern w:val="0"/>
          <w:sz w:val="24"/>
          <w:szCs w:val="24"/>
          <w:lang w:val="en-US" w:eastAsia="zh-CN"/>
        </w:rPr>
        <w:t>的承诺函（适用于</w:t>
      </w:r>
      <w:r>
        <w:rPr>
          <w:rFonts w:hint="eastAsia" w:ascii="宋体" w:hAnsi="宋体" w:eastAsia="宋体" w:cs="宋体"/>
          <w:b/>
          <w:kern w:val="0"/>
          <w:sz w:val="24"/>
          <w:szCs w:val="24"/>
        </w:rPr>
        <w:t>无专机专用耗材</w:t>
      </w:r>
      <w:r>
        <w:rPr>
          <w:rFonts w:hint="eastAsia" w:ascii="宋体" w:hAnsi="宋体" w:eastAsia="宋体" w:cs="宋体"/>
          <w:b/>
          <w:kern w:val="0"/>
          <w:sz w:val="24"/>
          <w:szCs w:val="24"/>
          <w:lang w:val="en-US" w:eastAsia="zh-CN"/>
        </w:rPr>
        <w:t>设备）</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本公司郑重承诺：本公司保证所销售的产品无专机专用耗材，否则负责赔偿买方的损失并承担相应的法律责任。此外，买方有权取消本公司的成交资格。</w:t>
      </w: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spacing w:line="360" w:lineRule="auto"/>
        <w:jc w:val="left"/>
        <w:rPr>
          <w:rFonts w:hint="eastAsia" w:ascii="宋体" w:hAnsi="宋体" w:eastAsia="宋体" w:cs="宋体"/>
          <w:sz w:val="21"/>
          <w:szCs w:val="21"/>
        </w:rPr>
      </w:pPr>
      <w:r>
        <w:rPr>
          <w:rFonts w:hint="eastAsia" w:ascii="宋体" w:hAnsi="宋体" w:eastAsia="宋体" w:cs="宋体"/>
          <w:b/>
          <w:sz w:val="21"/>
          <w:szCs w:val="21"/>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sz w:val="21"/>
          <w:szCs w:val="21"/>
        </w:rPr>
        <w:t>公司名称：（加盖公章）</w:t>
      </w:r>
    </w:p>
    <w:p>
      <w:pPr>
        <w:spacing w:line="360" w:lineRule="auto"/>
        <w:ind w:right="560" w:firstLine="5460" w:firstLineChars="2600"/>
        <w:rPr>
          <w:rFonts w:hint="eastAsia" w:ascii="宋体" w:hAnsi="宋体" w:eastAsia="宋体" w:cs="宋体"/>
          <w:sz w:val="21"/>
          <w:szCs w:val="21"/>
        </w:rPr>
      </w:pPr>
      <w:r>
        <w:rPr>
          <w:rFonts w:hint="eastAsia" w:ascii="宋体" w:hAnsi="宋体" w:eastAsia="宋体" w:cs="宋体"/>
          <w:sz w:val="21"/>
          <w:szCs w:val="21"/>
        </w:rPr>
        <w:t>时间：  年    月   日</w:t>
      </w:r>
    </w:p>
    <w:p>
      <w:pPr>
        <w:pStyle w:val="25"/>
        <w:adjustRightInd w:val="0"/>
        <w:snapToGrid w:val="0"/>
        <w:rPr>
          <w:rFonts w:hAnsi="宋体" w:cs="Times New Roman"/>
          <w:b/>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pStyle w:val="7"/>
        <w:outlineLvl w:val="9"/>
        <w:rPr>
          <w:rFonts w:hint="eastAsia" w:hAnsi="Times New Roman"/>
          <w:color w:val="auto"/>
          <w:sz w:val="21"/>
          <w:highlight w:val="none"/>
        </w:rPr>
      </w:pPr>
    </w:p>
    <w:p>
      <w:pPr>
        <w:spacing w:line="360" w:lineRule="auto"/>
        <w:jc w:val="both"/>
        <w:outlineLvl w:val="9"/>
        <w:rPr>
          <w:rFonts w:hAnsi="宋体"/>
          <w:b/>
          <w:color w:val="auto"/>
          <w:szCs w:val="21"/>
          <w:highlight w:val="none"/>
        </w:rPr>
      </w:pPr>
      <w:bookmarkStart w:id="387" w:name="_Toc3423"/>
    </w:p>
    <w:bookmarkEnd w:id="381"/>
    <w:bookmarkEnd w:id="382"/>
    <w:bookmarkEnd w:id="383"/>
    <w:bookmarkEnd w:id="384"/>
    <w:bookmarkEnd w:id="385"/>
    <w:bookmarkEnd w:id="386"/>
    <w:bookmarkEnd w:id="387"/>
    <w:p>
      <w:pPr>
        <w:outlineLvl w:val="9"/>
        <w:rPr>
          <w:rFonts w:ascii="宋体" w:hAnsi="宋体" w:cs="宋体"/>
          <w:color w:val="auto"/>
          <w:szCs w:val="21"/>
          <w:highlight w:val="none"/>
        </w:rPr>
      </w:pPr>
    </w:p>
    <w:sectPr>
      <w:footerReference r:id="rId12" w:type="first"/>
      <w:headerReference r:id="rId10" w:type="default"/>
      <w:footerReference r:id="rId11" w:type="default"/>
      <w:pgSz w:w="11906" w:h="16838"/>
      <w:pgMar w:top="1418" w:right="1247" w:bottom="1418" w:left="124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0B1D44-4513-4B91-B9F5-F170020558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embedRegular r:id="rId2" w:fontKey="{196054E1-1D36-4E15-9AF5-2651CF111E7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outside" w:y="1"/>
      <w:rPr>
        <w:rStyle w:val="53"/>
      </w:rPr>
    </w:pPr>
    <w:r>
      <w:fldChar w:fldCharType="begin"/>
    </w:r>
    <w:r>
      <w:rPr>
        <w:rStyle w:val="53"/>
      </w:rPr>
      <w:instrText xml:space="preserve">PAGE  </w:instrText>
    </w:r>
    <w:r>
      <w:fldChar w:fldCharType="end"/>
    </w:r>
  </w:p>
  <w:p>
    <w:pPr>
      <w:pStyle w:val="3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1"/>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0laa4BAABRAwAADgAAAGRycy9lMm9Eb2MueG1srVPNjtMwEL4j8Q6W&#10;7zRpD6sqaroCrRYhIUBaeADXsRtLtsfyeJv0BeANOHHhznP1ORg7SZefG+LizJ8/z/fNZHc7OstO&#10;KqIB3/L1quZMeQmd8ceWf/p4/2LLGSbhO2HBq5afFfLb/fNnuyE0agM92E5FRiAemyG0vE8pNFWF&#10;sldO4AqC8pTUEJ1I5MZj1UUxELqz1aaub6oBYhciSIVI0bspyfcFX2sl03utUSVmW069pXLGch7y&#10;We13ojlGEXoj5zbEP3ThhPH06BXqTiTBHqP5C8oZGQFBp5UEV4HWRqrCgdis6z/YPPQiqMKFxMFw&#10;lQn/H6x8d/oQmelodmvOvHA0o8vXL5dvPy7fP7N1vbnJEg0BG6p8CFSbxlcwUvkSRwpm5qOOLn+J&#10;E6M8iX2+CqzGxGS+tN1stzWlJOUWh/Crp+shYnqtwLFstDzSBIuw4vQW01S6lOTXPNwba8sUrf8t&#10;QJhTRJU1mG9nJlPH2UrjYZzpHaA7E7uBVqHlnnaVM/vGk9J5axYjLsZhNvKLGF4+JmqjdJdRJyhi&#10;lR2aW+E371hejF/9UvX0J+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LLSVprgEAAFED&#10;AAAOAAAAAAAAAAEAIAAAAB4BAABkcnMvZTJvRG9jLnhtbFBLBQYAAAAABgAGAFkBAAA+BQAAAAA=&#10;">
              <v:fill on="f" focussize="0,0"/>
              <v:stroke on="f"/>
              <v:imagedata o:title=""/>
              <o:lock v:ext="edit" aspectratio="f"/>
              <v:textbox inset="0mm,0mm,0mm,0mm" style="mso-fit-shape-to-text:t;">
                <w:txbxContent>
                  <w:p>
                    <w:pPr>
                      <w:pStyle w:val="31"/>
                    </w:pPr>
                    <w:r>
                      <w:rPr>
                        <w:rFonts w:hint="eastAsia"/>
                      </w:rPr>
                      <w:t xml:space="preserve">第 </w:t>
                    </w:r>
                    <w:r>
                      <w:fldChar w:fldCharType="begin"/>
                    </w:r>
                    <w:r>
                      <w:instrText xml:space="preserve"> PAGE  \* MERGEFORMAT </w:instrText>
                    </w:r>
                    <w:r>
                      <w:fldChar w:fldCharType="separate"/>
                    </w:r>
                    <w:r>
                      <w:t>20</w:t>
                    </w:r>
                    <w:r>
                      <w:fldChar w:fldCharType="end"/>
                    </w:r>
                    <w:r>
                      <w:rPr>
                        <w:rFonts w:hint="eastAsia"/>
                      </w:rPr>
                      <w:t xml:space="preserve"> 页 共 </w:t>
                    </w:r>
                    <w:r>
                      <w:fldChar w:fldCharType="begin"/>
                    </w:r>
                    <w:r>
                      <w:instrText xml:space="preserve"> NUMPAGES  \* MERGEFORMAT </w:instrText>
                    </w:r>
                    <w:r>
                      <w:fldChar w:fldCharType="separate"/>
                    </w:r>
                    <w:r>
                      <w:t>53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left"/>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39AF4"/>
    <w:multiLevelType w:val="singleLevel"/>
    <w:tmpl w:val="8E639AF4"/>
    <w:lvl w:ilvl="0" w:tentative="0">
      <w:start w:val="1"/>
      <w:numFmt w:val="decimal"/>
      <w:suff w:val="space"/>
      <w:lvlText w:val="%1."/>
      <w:lvlJc w:val="left"/>
      <w:pPr>
        <w:ind w:left="874" w:leftChars="0" w:hanging="454" w:firstLineChars="0"/>
      </w:pPr>
      <w:rPr>
        <w:rFonts w:hint="default"/>
      </w:rPr>
    </w:lvl>
  </w:abstractNum>
  <w:abstractNum w:abstractNumId="1">
    <w:nsid w:val="90AB0782"/>
    <w:multiLevelType w:val="singleLevel"/>
    <w:tmpl w:val="90AB0782"/>
    <w:lvl w:ilvl="0" w:tentative="0">
      <w:start w:val="1"/>
      <w:numFmt w:val="decimal"/>
      <w:suff w:val="nothing"/>
      <w:lvlText w:val="%1."/>
      <w:lvlJc w:val="left"/>
      <w:pPr>
        <w:ind w:left="4955" w:leftChars="0" w:hanging="4535" w:firstLineChars="0"/>
      </w:pPr>
      <w:rPr>
        <w:rFonts w:hint="default"/>
      </w:rPr>
    </w:lvl>
  </w:abstractNum>
  <w:abstractNum w:abstractNumId="2">
    <w:nsid w:val="B9587DCE"/>
    <w:multiLevelType w:val="singleLevel"/>
    <w:tmpl w:val="B9587DCE"/>
    <w:lvl w:ilvl="0" w:tentative="0">
      <w:start w:val="1"/>
      <w:numFmt w:val="decimal"/>
      <w:suff w:val="space"/>
      <w:lvlText w:val="%1."/>
      <w:lvlJc w:val="left"/>
      <w:pPr>
        <w:ind w:left="454" w:hanging="454"/>
      </w:pPr>
      <w:rPr>
        <w:rFonts w:hint="default"/>
      </w:rPr>
    </w:lvl>
  </w:abstractNum>
  <w:abstractNum w:abstractNumId="3">
    <w:nsid w:val="C31D6E93"/>
    <w:multiLevelType w:val="singleLevel"/>
    <w:tmpl w:val="C31D6E93"/>
    <w:lvl w:ilvl="0" w:tentative="0">
      <w:start w:val="1"/>
      <w:numFmt w:val="decimal"/>
      <w:suff w:val="space"/>
      <w:lvlText w:val="%1."/>
      <w:lvlJc w:val="left"/>
      <w:pPr>
        <w:ind w:left="874" w:leftChars="0" w:hanging="454" w:firstLineChars="0"/>
      </w:pPr>
      <w:rPr>
        <w:rFonts w:hint="default"/>
      </w:rPr>
    </w:lvl>
  </w:abstractNum>
  <w:abstractNum w:abstractNumId="4">
    <w:nsid w:val="C50AD9BF"/>
    <w:multiLevelType w:val="singleLevel"/>
    <w:tmpl w:val="C50AD9BF"/>
    <w:lvl w:ilvl="0" w:tentative="0">
      <w:start w:val="1"/>
      <w:numFmt w:val="chineseCounting"/>
      <w:suff w:val="nothing"/>
      <w:lvlText w:val="%1、"/>
      <w:lvlJc w:val="left"/>
      <w:pPr>
        <w:ind w:left="0" w:firstLine="420"/>
      </w:pPr>
      <w:rPr>
        <w:rFonts w:hint="eastAsia"/>
      </w:rPr>
    </w:lvl>
  </w:abstractNum>
  <w:abstractNum w:abstractNumId="5">
    <w:nsid w:val="CC85D893"/>
    <w:multiLevelType w:val="singleLevel"/>
    <w:tmpl w:val="CC85D893"/>
    <w:lvl w:ilvl="0" w:tentative="0">
      <w:start w:val="1"/>
      <w:numFmt w:val="decimal"/>
      <w:suff w:val="space"/>
      <w:lvlText w:val="%1."/>
      <w:lvlJc w:val="left"/>
      <w:pPr>
        <w:ind w:left="1084" w:leftChars="0" w:hanging="454" w:firstLineChars="0"/>
      </w:pPr>
      <w:rPr>
        <w:rFonts w:hint="default"/>
      </w:rPr>
    </w:lvl>
  </w:abstractNum>
  <w:abstractNum w:abstractNumId="6">
    <w:nsid w:val="EBDBB103"/>
    <w:multiLevelType w:val="multilevel"/>
    <w:tmpl w:val="EBDBB103"/>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87" w:hanging="567"/>
      </w:pPr>
      <w:rPr>
        <w:rFonts w:hint="eastAsia" w:ascii="宋体" w:hAnsi="宋体" w:eastAsia="宋体" w:cs="Times New Roman"/>
        <w:sz w:val="21"/>
        <w:szCs w:val="24"/>
      </w:rPr>
    </w:lvl>
    <w:lvl w:ilvl="2" w:tentative="0">
      <w:start w:val="1"/>
      <w:numFmt w:val="decimal"/>
      <w:lvlText w:val="%3."/>
      <w:lvlJc w:val="left"/>
      <w:pPr>
        <w:ind w:left="1418"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7">
    <w:nsid w:val="EC9648A9"/>
    <w:multiLevelType w:val="singleLevel"/>
    <w:tmpl w:val="EC9648A9"/>
    <w:lvl w:ilvl="0" w:tentative="0">
      <w:start w:val="1"/>
      <w:numFmt w:val="decimal"/>
      <w:suff w:val="space"/>
      <w:lvlText w:val="%1."/>
      <w:lvlJc w:val="left"/>
      <w:pPr>
        <w:ind w:left="845" w:hanging="425"/>
      </w:pPr>
      <w:rPr>
        <w:rFonts w:hint="default"/>
      </w:rPr>
    </w:lvl>
  </w:abstractNum>
  <w:abstractNum w:abstractNumId="8">
    <w:nsid w:val="F68FF328"/>
    <w:multiLevelType w:val="singleLevel"/>
    <w:tmpl w:val="F68FF328"/>
    <w:lvl w:ilvl="0" w:tentative="0">
      <w:start w:val="1"/>
      <w:numFmt w:val="chineseCounting"/>
      <w:suff w:val="nothing"/>
      <w:lvlText w:val="%1、"/>
      <w:lvlJc w:val="left"/>
      <w:pPr>
        <w:ind w:left="0" w:firstLine="420"/>
      </w:pPr>
      <w:rPr>
        <w:rFonts w:hint="eastAsia"/>
      </w:rPr>
    </w:lvl>
  </w:abstractNum>
  <w:abstractNum w:abstractNumId="9">
    <w:nsid w:val="00ACC52E"/>
    <w:multiLevelType w:val="singleLevel"/>
    <w:tmpl w:val="00ACC52E"/>
    <w:lvl w:ilvl="0" w:tentative="0">
      <w:start w:val="1"/>
      <w:numFmt w:val="decimal"/>
      <w:suff w:val="space"/>
      <w:lvlText w:val="%1."/>
      <w:lvlJc w:val="left"/>
      <w:pPr>
        <w:ind w:left="1084" w:leftChars="0" w:hanging="454" w:firstLineChars="0"/>
      </w:pPr>
      <w:rPr>
        <w:rFonts w:hint="default"/>
      </w:rPr>
    </w:lvl>
  </w:abstractNum>
  <w:abstractNum w:abstractNumId="10">
    <w:nsid w:val="389CB5A2"/>
    <w:multiLevelType w:val="singleLevel"/>
    <w:tmpl w:val="389CB5A2"/>
    <w:lvl w:ilvl="0" w:tentative="0">
      <w:start w:val="1"/>
      <w:numFmt w:val="chineseCounting"/>
      <w:suff w:val="nothing"/>
      <w:lvlText w:val="%1、"/>
      <w:lvlJc w:val="left"/>
      <w:rPr>
        <w:rFonts w:hint="eastAsia"/>
      </w:rPr>
    </w:lvl>
  </w:abstractNum>
  <w:abstractNum w:abstractNumId="11">
    <w:nsid w:val="3DF63BE5"/>
    <w:multiLevelType w:val="multilevel"/>
    <w:tmpl w:val="3DF63BE5"/>
    <w:lvl w:ilvl="0" w:tentative="0">
      <w:start w:val="1"/>
      <w:numFmt w:val="chineseCountingThousand"/>
      <w:suff w:val="space"/>
      <w:lvlText w:val="%1、"/>
      <w:lvlJc w:val="left"/>
      <w:pPr>
        <w:ind w:left="845" w:hanging="425"/>
      </w:pPr>
      <w:rPr>
        <w:rFonts w:hint="eastAsia" w:cs="Times New Roman"/>
        <w:sz w:val="24"/>
        <w:szCs w:val="24"/>
      </w:rPr>
    </w:lvl>
    <w:lvl w:ilvl="1" w:tentative="0">
      <w:start w:val="1"/>
      <w:numFmt w:val="chineseCountingThousand"/>
      <w:lvlText w:val="（%2）"/>
      <w:lvlJc w:val="left"/>
      <w:pPr>
        <w:ind w:left="1129" w:hanging="567"/>
      </w:pPr>
      <w:rPr>
        <w:rFonts w:hint="eastAsia" w:ascii="宋体" w:hAnsi="宋体" w:eastAsia="宋体" w:cs="Times New Roman"/>
        <w:b w:val="0"/>
        <w:bCs w:val="0"/>
        <w:color w:val="auto"/>
        <w:sz w:val="21"/>
        <w:szCs w:val="21"/>
      </w:rPr>
    </w:lvl>
    <w:lvl w:ilvl="2" w:tentative="0">
      <w:start w:val="1"/>
      <w:numFmt w:val="decimal"/>
      <w:lvlText w:val="%3."/>
      <w:lvlJc w:val="left"/>
      <w:pPr>
        <w:ind w:left="1407" w:hanging="567"/>
      </w:pPr>
      <w:rPr>
        <w:rFonts w:hint="eastAsia" w:cs="Times New Roman"/>
      </w:rPr>
    </w:lvl>
    <w:lvl w:ilvl="3" w:tentative="0">
      <w:start w:val="1"/>
      <w:numFmt w:val="decimal"/>
      <w:lvlText w:val="(%4)"/>
      <w:lvlJc w:val="left"/>
      <w:pPr>
        <w:ind w:left="2404" w:hanging="708"/>
      </w:pPr>
      <w:rPr>
        <w:rFonts w:hint="eastAsia" w:cs="Times New Roman"/>
      </w:rPr>
    </w:lvl>
    <w:lvl w:ilvl="4" w:tentative="0">
      <w:start w:val="1"/>
      <w:numFmt w:val="decimal"/>
      <w:lvlText w:val="%1.%2.%3.%4.%5"/>
      <w:lvlJc w:val="left"/>
      <w:pPr>
        <w:ind w:left="2971" w:hanging="850"/>
      </w:pPr>
      <w:rPr>
        <w:rFonts w:hint="eastAsia" w:cs="Times New Roman"/>
      </w:rPr>
    </w:lvl>
    <w:lvl w:ilvl="5" w:tentative="0">
      <w:start w:val="1"/>
      <w:numFmt w:val="decimal"/>
      <w:lvlText w:val="%1.%2.%3.%4.%5.%6"/>
      <w:lvlJc w:val="left"/>
      <w:pPr>
        <w:ind w:left="3680" w:hanging="1134"/>
      </w:pPr>
      <w:rPr>
        <w:rFonts w:hint="eastAsia" w:cs="Times New Roman"/>
      </w:rPr>
    </w:lvl>
    <w:lvl w:ilvl="6" w:tentative="0">
      <w:start w:val="1"/>
      <w:numFmt w:val="decimal"/>
      <w:lvlText w:val="%1.%2.%3.%4.%5.%6.%7"/>
      <w:lvlJc w:val="left"/>
      <w:pPr>
        <w:ind w:left="4247" w:hanging="1276"/>
      </w:pPr>
      <w:rPr>
        <w:rFonts w:hint="eastAsia" w:cs="Times New Roman"/>
      </w:rPr>
    </w:lvl>
    <w:lvl w:ilvl="7" w:tentative="0">
      <w:start w:val="1"/>
      <w:numFmt w:val="decimal"/>
      <w:lvlText w:val="%1.%2.%3.%4.%5.%6.%7.%8"/>
      <w:lvlJc w:val="left"/>
      <w:pPr>
        <w:ind w:left="4814" w:hanging="1418"/>
      </w:pPr>
      <w:rPr>
        <w:rFonts w:hint="eastAsia" w:cs="Times New Roman"/>
      </w:rPr>
    </w:lvl>
    <w:lvl w:ilvl="8" w:tentative="0">
      <w:start w:val="1"/>
      <w:numFmt w:val="decimal"/>
      <w:lvlText w:val="%1.%2.%3.%4.%5.%6.%7.%8.%9"/>
      <w:lvlJc w:val="left"/>
      <w:pPr>
        <w:ind w:left="5522" w:hanging="1700"/>
      </w:pPr>
      <w:rPr>
        <w:rFonts w:hint="eastAsia" w:cs="Times New Roman"/>
      </w:rPr>
    </w:lvl>
  </w:abstractNum>
  <w:abstractNum w:abstractNumId="12">
    <w:nsid w:val="756297B1"/>
    <w:multiLevelType w:val="singleLevel"/>
    <w:tmpl w:val="756297B1"/>
    <w:lvl w:ilvl="0" w:tentative="0">
      <w:start w:val="1"/>
      <w:numFmt w:val="decimal"/>
      <w:suff w:val="space"/>
      <w:lvlText w:val="%1."/>
      <w:lvlJc w:val="left"/>
      <w:pPr>
        <w:ind w:left="874" w:leftChars="0" w:hanging="454" w:firstLineChars="0"/>
      </w:pPr>
      <w:rPr>
        <w:rFonts w:hint="default"/>
      </w:rPr>
    </w:lvl>
  </w:abstractNum>
  <w:num w:numId="1">
    <w:abstractNumId w:val="8"/>
  </w:num>
  <w:num w:numId="2">
    <w:abstractNumId w:val="1"/>
  </w:num>
  <w:num w:numId="3">
    <w:abstractNumId w:val="11"/>
  </w:num>
  <w:num w:numId="4">
    <w:abstractNumId w:val="2"/>
  </w:num>
  <w:num w:numId="5">
    <w:abstractNumId w:val="7"/>
  </w:num>
  <w:num w:numId="6">
    <w:abstractNumId w:val="0"/>
  </w:num>
  <w:num w:numId="7">
    <w:abstractNumId w:val="3"/>
  </w:num>
  <w:num w:numId="8">
    <w:abstractNumId w:val="6"/>
  </w:num>
  <w:num w:numId="9">
    <w:abstractNumId w:val="5"/>
  </w:num>
  <w:num w:numId="10">
    <w:abstractNumId w:val="9"/>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²É¹º±àºÅ" w:val="GGPC-[2014]207"/>
    <w:docVar w:name="commondata" w:val="eyJoZGlkIjoiMTMyNjU1Yzg5YjMzNTI3NDY4ZjIyNmY2NjUwNWZmNzAifQ=="/>
  </w:docVars>
  <w:rsids>
    <w:rsidRoot w:val="00172A27"/>
    <w:rsid w:val="000017B6"/>
    <w:rsid w:val="0000420B"/>
    <w:rsid w:val="00005330"/>
    <w:rsid w:val="00005F10"/>
    <w:rsid w:val="00006636"/>
    <w:rsid w:val="00007641"/>
    <w:rsid w:val="00011501"/>
    <w:rsid w:val="000148E4"/>
    <w:rsid w:val="00015F8B"/>
    <w:rsid w:val="00017B12"/>
    <w:rsid w:val="0002097E"/>
    <w:rsid w:val="00022624"/>
    <w:rsid w:val="00022685"/>
    <w:rsid w:val="0002382C"/>
    <w:rsid w:val="0002398A"/>
    <w:rsid w:val="000247B3"/>
    <w:rsid w:val="00024BE9"/>
    <w:rsid w:val="0002529C"/>
    <w:rsid w:val="0002589B"/>
    <w:rsid w:val="00026268"/>
    <w:rsid w:val="0003284A"/>
    <w:rsid w:val="0003285F"/>
    <w:rsid w:val="000438CB"/>
    <w:rsid w:val="00043D46"/>
    <w:rsid w:val="00044997"/>
    <w:rsid w:val="00046EC9"/>
    <w:rsid w:val="00047711"/>
    <w:rsid w:val="0004798D"/>
    <w:rsid w:val="000516E5"/>
    <w:rsid w:val="000542B1"/>
    <w:rsid w:val="00055B30"/>
    <w:rsid w:val="00056E5E"/>
    <w:rsid w:val="0005728B"/>
    <w:rsid w:val="000574B2"/>
    <w:rsid w:val="00057BE4"/>
    <w:rsid w:val="00062530"/>
    <w:rsid w:val="00062783"/>
    <w:rsid w:val="0006578F"/>
    <w:rsid w:val="00070310"/>
    <w:rsid w:val="00072260"/>
    <w:rsid w:val="00073753"/>
    <w:rsid w:val="0007448D"/>
    <w:rsid w:val="00077E85"/>
    <w:rsid w:val="000801A1"/>
    <w:rsid w:val="00080D05"/>
    <w:rsid w:val="00081271"/>
    <w:rsid w:val="000839E4"/>
    <w:rsid w:val="00085C9E"/>
    <w:rsid w:val="00086DCC"/>
    <w:rsid w:val="00087F5D"/>
    <w:rsid w:val="000915AA"/>
    <w:rsid w:val="000921A9"/>
    <w:rsid w:val="00094F64"/>
    <w:rsid w:val="000952B6"/>
    <w:rsid w:val="000969AB"/>
    <w:rsid w:val="00096C67"/>
    <w:rsid w:val="000A14D8"/>
    <w:rsid w:val="000A1681"/>
    <w:rsid w:val="000A26BD"/>
    <w:rsid w:val="000A34E5"/>
    <w:rsid w:val="000A4B8F"/>
    <w:rsid w:val="000A79C4"/>
    <w:rsid w:val="000B0AA3"/>
    <w:rsid w:val="000B14F3"/>
    <w:rsid w:val="000B16A3"/>
    <w:rsid w:val="000B1860"/>
    <w:rsid w:val="000B27EA"/>
    <w:rsid w:val="000B5951"/>
    <w:rsid w:val="000B60CC"/>
    <w:rsid w:val="000C14F5"/>
    <w:rsid w:val="000C17D3"/>
    <w:rsid w:val="000C29B0"/>
    <w:rsid w:val="000C3EB7"/>
    <w:rsid w:val="000C70E6"/>
    <w:rsid w:val="000D00CE"/>
    <w:rsid w:val="000D0284"/>
    <w:rsid w:val="000D135E"/>
    <w:rsid w:val="000D3641"/>
    <w:rsid w:val="000D3AA0"/>
    <w:rsid w:val="000E2319"/>
    <w:rsid w:val="000E4058"/>
    <w:rsid w:val="000E587A"/>
    <w:rsid w:val="000E5DB6"/>
    <w:rsid w:val="000E6F26"/>
    <w:rsid w:val="000E7B65"/>
    <w:rsid w:val="000F0EC7"/>
    <w:rsid w:val="000F131F"/>
    <w:rsid w:val="000F673C"/>
    <w:rsid w:val="00101027"/>
    <w:rsid w:val="00101E21"/>
    <w:rsid w:val="00103EFA"/>
    <w:rsid w:val="00104D1C"/>
    <w:rsid w:val="0010536D"/>
    <w:rsid w:val="00106FB0"/>
    <w:rsid w:val="00107A5D"/>
    <w:rsid w:val="00110325"/>
    <w:rsid w:val="00111922"/>
    <w:rsid w:val="00111DB1"/>
    <w:rsid w:val="00111E10"/>
    <w:rsid w:val="00112539"/>
    <w:rsid w:val="00114642"/>
    <w:rsid w:val="0011476F"/>
    <w:rsid w:val="00115082"/>
    <w:rsid w:val="00116774"/>
    <w:rsid w:val="00117086"/>
    <w:rsid w:val="001172C0"/>
    <w:rsid w:val="00117FC5"/>
    <w:rsid w:val="00121450"/>
    <w:rsid w:val="00121F9F"/>
    <w:rsid w:val="0012505B"/>
    <w:rsid w:val="00125262"/>
    <w:rsid w:val="00125FF4"/>
    <w:rsid w:val="00130A2A"/>
    <w:rsid w:val="001318BE"/>
    <w:rsid w:val="00132654"/>
    <w:rsid w:val="00132744"/>
    <w:rsid w:val="001347E0"/>
    <w:rsid w:val="00135BF9"/>
    <w:rsid w:val="001371C3"/>
    <w:rsid w:val="0013794E"/>
    <w:rsid w:val="00141F76"/>
    <w:rsid w:val="00142F08"/>
    <w:rsid w:val="001434C0"/>
    <w:rsid w:val="00144E70"/>
    <w:rsid w:val="00146367"/>
    <w:rsid w:val="001502D7"/>
    <w:rsid w:val="0015135F"/>
    <w:rsid w:val="001516E5"/>
    <w:rsid w:val="00152FF4"/>
    <w:rsid w:val="0015364C"/>
    <w:rsid w:val="00154109"/>
    <w:rsid w:val="00156B48"/>
    <w:rsid w:val="001571FF"/>
    <w:rsid w:val="00162625"/>
    <w:rsid w:val="001646AC"/>
    <w:rsid w:val="0016478A"/>
    <w:rsid w:val="00164B2D"/>
    <w:rsid w:val="00166567"/>
    <w:rsid w:val="0016731D"/>
    <w:rsid w:val="001701AC"/>
    <w:rsid w:val="00170C2C"/>
    <w:rsid w:val="00170FF6"/>
    <w:rsid w:val="00172207"/>
    <w:rsid w:val="00172A27"/>
    <w:rsid w:val="00176679"/>
    <w:rsid w:val="001845A2"/>
    <w:rsid w:val="0019041A"/>
    <w:rsid w:val="001910D2"/>
    <w:rsid w:val="00195239"/>
    <w:rsid w:val="00195386"/>
    <w:rsid w:val="001969B1"/>
    <w:rsid w:val="001969D0"/>
    <w:rsid w:val="0019716D"/>
    <w:rsid w:val="001A0837"/>
    <w:rsid w:val="001A0A40"/>
    <w:rsid w:val="001A242E"/>
    <w:rsid w:val="001A2E28"/>
    <w:rsid w:val="001A38F4"/>
    <w:rsid w:val="001A3DA4"/>
    <w:rsid w:val="001A3E73"/>
    <w:rsid w:val="001A5430"/>
    <w:rsid w:val="001A5835"/>
    <w:rsid w:val="001B0178"/>
    <w:rsid w:val="001B12C2"/>
    <w:rsid w:val="001B1963"/>
    <w:rsid w:val="001B33E3"/>
    <w:rsid w:val="001B47CC"/>
    <w:rsid w:val="001B4FB7"/>
    <w:rsid w:val="001C0F66"/>
    <w:rsid w:val="001C21CA"/>
    <w:rsid w:val="001C23E7"/>
    <w:rsid w:val="001C2515"/>
    <w:rsid w:val="001C2F48"/>
    <w:rsid w:val="001C2FFF"/>
    <w:rsid w:val="001C4183"/>
    <w:rsid w:val="001C438A"/>
    <w:rsid w:val="001C4D6D"/>
    <w:rsid w:val="001C7B52"/>
    <w:rsid w:val="001D013E"/>
    <w:rsid w:val="001D0A61"/>
    <w:rsid w:val="001D0F88"/>
    <w:rsid w:val="001D0F8E"/>
    <w:rsid w:val="001D10F5"/>
    <w:rsid w:val="001D1C58"/>
    <w:rsid w:val="001D351C"/>
    <w:rsid w:val="001D3BE2"/>
    <w:rsid w:val="001D4157"/>
    <w:rsid w:val="001E178B"/>
    <w:rsid w:val="001E4C58"/>
    <w:rsid w:val="001E5372"/>
    <w:rsid w:val="001E56FA"/>
    <w:rsid w:val="001E684D"/>
    <w:rsid w:val="001E75E7"/>
    <w:rsid w:val="001E7D28"/>
    <w:rsid w:val="001F0A49"/>
    <w:rsid w:val="001F1882"/>
    <w:rsid w:val="001F1F86"/>
    <w:rsid w:val="001F29B5"/>
    <w:rsid w:val="001F2ABB"/>
    <w:rsid w:val="001F4D25"/>
    <w:rsid w:val="001F7759"/>
    <w:rsid w:val="00200663"/>
    <w:rsid w:val="002059AC"/>
    <w:rsid w:val="002067C5"/>
    <w:rsid w:val="002108E7"/>
    <w:rsid w:val="00212E9C"/>
    <w:rsid w:val="002154F6"/>
    <w:rsid w:val="00215E71"/>
    <w:rsid w:val="00217D6A"/>
    <w:rsid w:val="00220B12"/>
    <w:rsid w:val="00222E0E"/>
    <w:rsid w:val="0022377E"/>
    <w:rsid w:val="00224285"/>
    <w:rsid w:val="00224F1C"/>
    <w:rsid w:val="002258C4"/>
    <w:rsid w:val="00225CDC"/>
    <w:rsid w:val="002265AD"/>
    <w:rsid w:val="00230AC6"/>
    <w:rsid w:val="002329F4"/>
    <w:rsid w:val="002332E5"/>
    <w:rsid w:val="00233C02"/>
    <w:rsid w:val="00236278"/>
    <w:rsid w:val="002378FD"/>
    <w:rsid w:val="002404F2"/>
    <w:rsid w:val="002445CD"/>
    <w:rsid w:val="002448CA"/>
    <w:rsid w:val="0024581A"/>
    <w:rsid w:val="00246798"/>
    <w:rsid w:val="002467A9"/>
    <w:rsid w:val="00250608"/>
    <w:rsid w:val="002529E3"/>
    <w:rsid w:val="00252E06"/>
    <w:rsid w:val="0025367D"/>
    <w:rsid w:val="00255E96"/>
    <w:rsid w:val="00256D3A"/>
    <w:rsid w:val="00260862"/>
    <w:rsid w:val="00262AAB"/>
    <w:rsid w:val="0026350B"/>
    <w:rsid w:val="002636B6"/>
    <w:rsid w:val="002639E8"/>
    <w:rsid w:val="002669E7"/>
    <w:rsid w:val="00266E51"/>
    <w:rsid w:val="002723A3"/>
    <w:rsid w:val="002749D0"/>
    <w:rsid w:val="00274BCE"/>
    <w:rsid w:val="00275761"/>
    <w:rsid w:val="00277A00"/>
    <w:rsid w:val="00281410"/>
    <w:rsid w:val="00281FD7"/>
    <w:rsid w:val="002826F6"/>
    <w:rsid w:val="00283A95"/>
    <w:rsid w:val="002846D3"/>
    <w:rsid w:val="002846F1"/>
    <w:rsid w:val="00285CB8"/>
    <w:rsid w:val="00285F7E"/>
    <w:rsid w:val="0028765A"/>
    <w:rsid w:val="00287B2D"/>
    <w:rsid w:val="00290CA7"/>
    <w:rsid w:val="0029207A"/>
    <w:rsid w:val="00297244"/>
    <w:rsid w:val="002974E0"/>
    <w:rsid w:val="00297CE9"/>
    <w:rsid w:val="002A0104"/>
    <w:rsid w:val="002A012E"/>
    <w:rsid w:val="002A07A1"/>
    <w:rsid w:val="002A225F"/>
    <w:rsid w:val="002A38CB"/>
    <w:rsid w:val="002A6DAC"/>
    <w:rsid w:val="002A72CF"/>
    <w:rsid w:val="002B1184"/>
    <w:rsid w:val="002B2321"/>
    <w:rsid w:val="002B26DC"/>
    <w:rsid w:val="002B2E58"/>
    <w:rsid w:val="002B3C54"/>
    <w:rsid w:val="002B6318"/>
    <w:rsid w:val="002B761B"/>
    <w:rsid w:val="002C0945"/>
    <w:rsid w:val="002C13F0"/>
    <w:rsid w:val="002C13F3"/>
    <w:rsid w:val="002C17B3"/>
    <w:rsid w:val="002C3543"/>
    <w:rsid w:val="002C5154"/>
    <w:rsid w:val="002C6716"/>
    <w:rsid w:val="002C7F36"/>
    <w:rsid w:val="002D0C66"/>
    <w:rsid w:val="002D0EA6"/>
    <w:rsid w:val="002D15DE"/>
    <w:rsid w:val="002D2D53"/>
    <w:rsid w:val="002D317A"/>
    <w:rsid w:val="002D3AAE"/>
    <w:rsid w:val="002D44EA"/>
    <w:rsid w:val="002D5A80"/>
    <w:rsid w:val="002D6E88"/>
    <w:rsid w:val="002D7076"/>
    <w:rsid w:val="002E0D34"/>
    <w:rsid w:val="002E1B7E"/>
    <w:rsid w:val="002E4416"/>
    <w:rsid w:val="002E46DE"/>
    <w:rsid w:val="002E6F9D"/>
    <w:rsid w:val="002E79CB"/>
    <w:rsid w:val="002F1C3C"/>
    <w:rsid w:val="002F4E5C"/>
    <w:rsid w:val="002F5035"/>
    <w:rsid w:val="002F5698"/>
    <w:rsid w:val="00301215"/>
    <w:rsid w:val="0030220D"/>
    <w:rsid w:val="00302B23"/>
    <w:rsid w:val="00302D42"/>
    <w:rsid w:val="00302E77"/>
    <w:rsid w:val="003031DF"/>
    <w:rsid w:val="003057F3"/>
    <w:rsid w:val="003061EB"/>
    <w:rsid w:val="0030698A"/>
    <w:rsid w:val="0031062B"/>
    <w:rsid w:val="00310D4C"/>
    <w:rsid w:val="00312EF2"/>
    <w:rsid w:val="00313C2D"/>
    <w:rsid w:val="00313E5A"/>
    <w:rsid w:val="003141A1"/>
    <w:rsid w:val="0031537B"/>
    <w:rsid w:val="003172EC"/>
    <w:rsid w:val="00317C8A"/>
    <w:rsid w:val="00321E08"/>
    <w:rsid w:val="0032245D"/>
    <w:rsid w:val="003234BA"/>
    <w:rsid w:val="00323FBD"/>
    <w:rsid w:val="00324B36"/>
    <w:rsid w:val="00324D53"/>
    <w:rsid w:val="00325B12"/>
    <w:rsid w:val="003263A0"/>
    <w:rsid w:val="00326BF1"/>
    <w:rsid w:val="00326ECD"/>
    <w:rsid w:val="00327CE0"/>
    <w:rsid w:val="00327FE6"/>
    <w:rsid w:val="0033124D"/>
    <w:rsid w:val="003312A9"/>
    <w:rsid w:val="00332C64"/>
    <w:rsid w:val="00333547"/>
    <w:rsid w:val="00335E3E"/>
    <w:rsid w:val="00337FD0"/>
    <w:rsid w:val="00341DCF"/>
    <w:rsid w:val="00344D3F"/>
    <w:rsid w:val="003458A5"/>
    <w:rsid w:val="00350128"/>
    <w:rsid w:val="00351DC7"/>
    <w:rsid w:val="00353970"/>
    <w:rsid w:val="003543A7"/>
    <w:rsid w:val="00354DAD"/>
    <w:rsid w:val="003603CD"/>
    <w:rsid w:val="003606F3"/>
    <w:rsid w:val="00361C15"/>
    <w:rsid w:val="00361DF4"/>
    <w:rsid w:val="00362D5F"/>
    <w:rsid w:val="003656F5"/>
    <w:rsid w:val="003658AE"/>
    <w:rsid w:val="00365D83"/>
    <w:rsid w:val="0036674C"/>
    <w:rsid w:val="00371358"/>
    <w:rsid w:val="003716F9"/>
    <w:rsid w:val="00373A80"/>
    <w:rsid w:val="00373E6D"/>
    <w:rsid w:val="00374C36"/>
    <w:rsid w:val="00374E66"/>
    <w:rsid w:val="0037509C"/>
    <w:rsid w:val="00376080"/>
    <w:rsid w:val="0037613F"/>
    <w:rsid w:val="003770BE"/>
    <w:rsid w:val="00377247"/>
    <w:rsid w:val="003803DC"/>
    <w:rsid w:val="003807C9"/>
    <w:rsid w:val="00380995"/>
    <w:rsid w:val="00382600"/>
    <w:rsid w:val="00383D88"/>
    <w:rsid w:val="00383F3B"/>
    <w:rsid w:val="00384099"/>
    <w:rsid w:val="003862D5"/>
    <w:rsid w:val="00390662"/>
    <w:rsid w:val="00390D75"/>
    <w:rsid w:val="00390DFE"/>
    <w:rsid w:val="00390E31"/>
    <w:rsid w:val="00391475"/>
    <w:rsid w:val="0039207F"/>
    <w:rsid w:val="00395425"/>
    <w:rsid w:val="003959D0"/>
    <w:rsid w:val="0039776A"/>
    <w:rsid w:val="00397793"/>
    <w:rsid w:val="003A1B1F"/>
    <w:rsid w:val="003A5A56"/>
    <w:rsid w:val="003A7266"/>
    <w:rsid w:val="003A7E2D"/>
    <w:rsid w:val="003B128A"/>
    <w:rsid w:val="003B1FCB"/>
    <w:rsid w:val="003B5D74"/>
    <w:rsid w:val="003B78D5"/>
    <w:rsid w:val="003C020B"/>
    <w:rsid w:val="003C0AD6"/>
    <w:rsid w:val="003C2304"/>
    <w:rsid w:val="003C475E"/>
    <w:rsid w:val="003C5812"/>
    <w:rsid w:val="003C7D39"/>
    <w:rsid w:val="003D3D81"/>
    <w:rsid w:val="003D47B6"/>
    <w:rsid w:val="003D7DFE"/>
    <w:rsid w:val="003E0F5D"/>
    <w:rsid w:val="003E1BCC"/>
    <w:rsid w:val="003E4AF9"/>
    <w:rsid w:val="003F26BB"/>
    <w:rsid w:val="003F33C7"/>
    <w:rsid w:val="003F5A63"/>
    <w:rsid w:val="0040063B"/>
    <w:rsid w:val="004008C9"/>
    <w:rsid w:val="00400924"/>
    <w:rsid w:val="00400D86"/>
    <w:rsid w:val="00402C91"/>
    <w:rsid w:val="00405A18"/>
    <w:rsid w:val="00405F2E"/>
    <w:rsid w:val="00406186"/>
    <w:rsid w:val="00407848"/>
    <w:rsid w:val="00410B9B"/>
    <w:rsid w:val="00411CA2"/>
    <w:rsid w:val="004121E5"/>
    <w:rsid w:val="00412886"/>
    <w:rsid w:val="00413CA7"/>
    <w:rsid w:val="00416A12"/>
    <w:rsid w:val="00417602"/>
    <w:rsid w:val="004176CB"/>
    <w:rsid w:val="004208D8"/>
    <w:rsid w:val="00420E09"/>
    <w:rsid w:val="00422837"/>
    <w:rsid w:val="00423700"/>
    <w:rsid w:val="00427749"/>
    <w:rsid w:val="00427E42"/>
    <w:rsid w:val="0043017A"/>
    <w:rsid w:val="00430768"/>
    <w:rsid w:val="0043096A"/>
    <w:rsid w:val="00433499"/>
    <w:rsid w:val="0043390E"/>
    <w:rsid w:val="00440562"/>
    <w:rsid w:val="0044173C"/>
    <w:rsid w:val="00441A38"/>
    <w:rsid w:val="00441F9C"/>
    <w:rsid w:val="00442BE0"/>
    <w:rsid w:val="00443A9E"/>
    <w:rsid w:val="00443F56"/>
    <w:rsid w:val="004440BD"/>
    <w:rsid w:val="0044661A"/>
    <w:rsid w:val="004466DC"/>
    <w:rsid w:val="004467B3"/>
    <w:rsid w:val="00446970"/>
    <w:rsid w:val="00447C02"/>
    <w:rsid w:val="00447D32"/>
    <w:rsid w:val="00451519"/>
    <w:rsid w:val="004538B5"/>
    <w:rsid w:val="0045457B"/>
    <w:rsid w:val="004561A8"/>
    <w:rsid w:val="00457636"/>
    <w:rsid w:val="00457756"/>
    <w:rsid w:val="00460919"/>
    <w:rsid w:val="004609B2"/>
    <w:rsid w:val="00460E11"/>
    <w:rsid w:val="00463E96"/>
    <w:rsid w:val="004645B8"/>
    <w:rsid w:val="00467575"/>
    <w:rsid w:val="004675DC"/>
    <w:rsid w:val="00467DB4"/>
    <w:rsid w:val="0047021D"/>
    <w:rsid w:val="00470C57"/>
    <w:rsid w:val="00471965"/>
    <w:rsid w:val="00471EBD"/>
    <w:rsid w:val="004763E7"/>
    <w:rsid w:val="0047643B"/>
    <w:rsid w:val="004772F7"/>
    <w:rsid w:val="00481816"/>
    <w:rsid w:val="0048315B"/>
    <w:rsid w:val="00484F54"/>
    <w:rsid w:val="00485EE2"/>
    <w:rsid w:val="00485F5F"/>
    <w:rsid w:val="00487FE3"/>
    <w:rsid w:val="00490A2D"/>
    <w:rsid w:val="0049388A"/>
    <w:rsid w:val="0049665A"/>
    <w:rsid w:val="00496A3D"/>
    <w:rsid w:val="00497157"/>
    <w:rsid w:val="00497B24"/>
    <w:rsid w:val="004A245D"/>
    <w:rsid w:val="004A257C"/>
    <w:rsid w:val="004A2B27"/>
    <w:rsid w:val="004A4462"/>
    <w:rsid w:val="004A4803"/>
    <w:rsid w:val="004A5DCF"/>
    <w:rsid w:val="004A5F0C"/>
    <w:rsid w:val="004A78B4"/>
    <w:rsid w:val="004B27DF"/>
    <w:rsid w:val="004B3EDA"/>
    <w:rsid w:val="004B66DB"/>
    <w:rsid w:val="004B6B84"/>
    <w:rsid w:val="004C2F53"/>
    <w:rsid w:val="004C369D"/>
    <w:rsid w:val="004C39DD"/>
    <w:rsid w:val="004C7708"/>
    <w:rsid w:val="004D22BA"/>
    <w:rsid w:val="004D2C89"/>
    <w:rsid w:val="004D2D8B"/>
    <w:rsid w:val="004D3733"/>
    <w:rsid w:val="004D3D04"/>
    <w:rsid w:val="004D4B63"/>
    <w:rsid w:val="004D4FAF"/>
    <w:rsid w:val="004D761F"/>
    <w:rsid w:val="004D7974"/>
    <w:rsid w:val="004E07D4"/>
    <w:rsid w:val="004E1C35"/>
    <w:rsid w:val="004E3765"/>
    <w:rsid w:val="004E6970"/>
    <w:rsid w:val="004E6BA0"/>
    <w:rsid w:val="004F07D7"/>
    <w:rsid w:val="004F091A"/>
    <w:rsid w:val="004F1FA5"/>
    <w:rsid w:val="004F2869"/>
    <w:rsid w:val="004F292F"/>
    <w:rsid w:val="004F63C8"/>
    <w:rsid w:val="004F76F0"/>
    <w:rsid w:val="00500625"/>
    <w:rsid w:val="005008DD"/>
    <w:rsid w:val="00500D2F"/>
    <w:rsid w:val="00500DF8"/>
    <w:rsid w:val="0050181E"/>
    <w:rsid w:val="005021F2"/>
    <w:rsid w:val="005032CE"/>
    <w:rsid w:val="005076BC"/>
    <w:rsid w:val="005103F3"/>
    <w:rsid w:val="0051108E"/>
    <w:rsid w:val="00511684"/>
    <w:rsid w:val="00517AEA"/>
    <w:rsid w:val="0052218D"/>
    <w:rsid w:val="005233FC"/>
    <w:rsid w:val="00523675"/>
    <w:rsid w:val="00523D32"/>
    <w:rsid w:val="005263D4"/>
    <w:rsid w:val="00526EB7"/>
    <w:rsid w:val="005277B6"/>
    <w:rsid w:val="005318AB"/>
    <w:rsid w:val="00531A8B"/>
    <w:rsid w:val="0053231D"/>
    <w:rsid w:val="00532B26"/>
    <w:rsid w:val="00534D3B"/>
    <w:rsid w:val="005409C3"/>
    <w:rsid w:val="00542185"/>
    <w:rsid w:val="005422EA"/>
    <w:rsid w:val="00543FA5"/>
    <w:rsid w:val="00545E8F"/>
    <w:rsid w:val="00550625"/>
    <w:rsid w:val="00551A74"/>
    <w:rsid w:val="00552D0A"/>
    <w:rsid w:val="00553FFD"/>
    <w:rsid w:val="00554534"/>
    <w:rsid w:val="00556C3E"/>
    <w:rsid w:val="00560E86"/>
    <w:rsid w:val="00563BD1"/>
    <w:rsid w:val="00564892"/>
    <w:rsid w:val="00564D7C"/>
    <w:rsid w:val="005661E8"/>
    <w:rsid w:val="005745CB"/>
    <w:rsid w:val="0057647E"/>
    <w:rsid w:val="00576EAD"/>
    <w:rsid w:val="00577278"/>
    <w:rsid w:val="00577A54"/>
    <w:rsid w:val="005807FB"/>
    <w:rsid w:val="00580B72"/>
    <w:rsid w:val="00580D86"/>
    <w:rsid w:val="00581F6F"/>
    <w:rsid w:val="005835ED"/>
    <w:rsid w:val="00587EFE"/>
    <w:rsid w:val="00590FFC"/>
    <w:rsid w:val="00591FE5"/>
    <w:rsid w:val="005946A6"/>
    <w:rsid w:val="00594B65"/>
    <w:rsid w:val="00594FB6"/>
    <w:rsid w:val="0059567C"/>
    <w:rsid w:val="005966E4"/>
    <w:rsid w:val="00596F40"/>
    <w:rsid w:val="00597305"/>
    <w:rsid w:val="005A31E3"/>
    <w:rsid w:val="005A7D16"/>
    <w:rsid w:val="005B11A2"/>
    <w:rsid w:val="005B178F"/>
    <w:rsid w:val="005B1A0B"/>
    <w:rsid w:val="005B1C61"/>
    <w:rsid w:val="005B597F"/>
    <w:rsid w:val="005B7131"/>
    <w:rsid w:val="005C0435"/>
    <w:rsid w:val="005C1A92"/>
    <w:rsid w:val="005C20FF"/>
    <w:rsid w:val="005C30D7"/>
    <w:rsid w:val="005C730C"/>
    <w:rsid w:val="005D0742"/>
    <w:rsid w:val="005D190A"/>
    <w:rsid w:val="005D2372"/>
    <w:rsid w:val="005D321B"/>
    <w:rsid w:val="005D3DCC"/>
    <w:rsid w:val="005D4374"/>
    <w:rsid w:val="005D4A6C"/>
    <w:rsid w:val="005D4EF6"/>
    <w:rsid w:val="005D6B33"/>
    <w:rsid w:val="005E4739"/>
    <w:rsid w:val="005F28DC"/>
    <w:rsid w:val="005F5322"/>
    <w:rsid w:val="005F5DE8"/>
    <w:rsid w:val="005F6823"/>
    <w:rsid w:val="005F6B3B"/>
    <w:rsid w:val="005F70E5"/>
    <w:rsid w:val="006002C7"/>
    <w:rsid w:val="00600D2F"/>
    <w:rsid w:val="006014DD"/>
    <w:rsid w:val="0060353B"/>
    <w:rsid w:val="0060512B"/>
    <w:rsid w:val="00607448"/>
    <w:rsid w:val="00607F8D"/>
    <w:rsid w:val="006160EB"/>
    <w:rsid w:val="00622BF0"/>
    <w:rsid w:val="00623024"/>
    <w:rsid w:val="0062340F"/>
    <w:rsid w:val="0063186B"/>
    <w:rsid w:val="0063231D"/>
    <w:rsid w:val="006327DE"/>
    <w:rsid w:val="00632B11"/>
    <w:rsid w:val="00632CBD"/>
    <w:rsid w:val="006334B2"/>
    <w:rsid w:val="00634C29"/>
    <w:rsid w:val="00634FBD"/>
    <w:rsid w:val="0063504B"/>
    <w:rsid w:val="0063504F"/>
    <w:rsid w:val="00636325"/>
    <w:rsid w:val="00637F42"/>
    <w:rsid w:val="00640A2C"/>
    <w:rsid w:val="0064415C"/>
    <w:rsid w:val="0064558C"/>
    <w:rsid w:val="00645A1C"/>
    <w:rsid w:val="00646C24"/>
    <w:rsid w:val="006472B1"/>
    <w:rsid w:val="006478FF"/>
    <w:rsid w:val="00647B87"/>
    <w:rsid w:val="00650279"/>
    <w:rsid w:val="00652613"/>
    <w:rsid w:val="00653F77"/>
    <w:rsid w:val="006541F1"/>
    <w:rsid w:val="00654913"/>
    <w:rsid w:val="00655323"/>
    <w:rsid w:val="00655E67"/>
    <w:rsid w:val="00656395"/>
    <w:rsid w:val="00657DE4"/>
    <w:rsid w:val="00663D66"/>
    <w:rsid w:val="00666062"/>
    <w:rsid w:val="00666821"/>
    <w:rsid w:val="0067011B"/>
    <w:rsid w:val="00672099"/>
    <w:rsid w:val="00672326"/>
    <w:rsid w:val="00675418"/>
    <w:rsid w:val="00675695"/>
    <w:rsid w:val="00677AC8"/>
    <w:rsid w:val="00677F7C"/>
    <w:rsid w:val="00680666"/>
    <w:rsid w:val="006840CB"/>
    <w:rsid w:val="00686F61"/>
    <w:rsid w:val="00693310"/>
    <w:rsid w:val="00693A48"/>
    <w:rsid w:val="00695C68"/>
    <w:rsid w:val="00696C78"/>
    <w:rsid w:val="006A0316"/>
    <w:rsid w:val="006A08F8"/>
    <w:rsid w:val="006A0A8E"/>
    <w:rsid w:val="006A1285"/>
    <w:rsid w:val="006A1753"/>
    <w:rsid w:val="006A18BD"/>
    <w:rsid w:val="006A2269"/>
    <w:rsid w:val="006A27F4"/>
    <w:rsid w:val="006A55B5"/>
    <w:rsid w:val="006A5827"/>
    <w:rsid w:val="006A6DBF"/>
    <w:rsid w:val="006A7626"/>
    <w:rsid w:val="006B658E"/>
    <w:rsid w:val="006B6BAA"/>
    <w:rsid w:val="006B6C31"/>
    <w:rsid w:val="006B70E6"/>
    <w:rsid w:val="006B7C78"/>
    <w:rsid w:val="006B7DB6"/>
    <w:rsid w:val="006B7E3A"/>
    <w:rsid w:val="006C1AD5"/>
    <w:rsid w:val="006C1D82"/>
    <w:rsid w:val="006C26DE"/>
    <w:rsid w:val="006C2D0D"/>
    <w:rsid w:val="006C3B46"/>
    <w:rsid w:val="006C5D52"/>
    <w:rsid w:val="006C7D88"/>
    <w:rsid w:val="006D17F2"/>
    <w:rsid w:val="006D5DE5"/>
    <w:rsid w:val="006E50ED"/>
    <w:rsid w:val="006E54F4"/>
    <w:rsid w:val="006E5935"/>
    <w:rsid w:val="006E7BC2"/>
    <w:rsid w:val="006F41A9"/>
    <w:rsid w:val="006F48BF"/>
    <w:rsid w:val="006F6AAD"/>
    <w:rsid w:val="006F7144"/>
    <w:rsid w:val="00701500"/>
    <w:rsid w:val="00701C56"/>
    <w:rsid w:val="00706C30"/>
    <w:rsid w:val="00707EFC"/>
    <w:rsid w:val="00710B92"/>
    <w:rsid w:val="00712484"/>
    <w:rsid w:val="0071478B"/>
    <w:rsid w:val="007179BD"/>
    <w:rsid w:val="007237E0"/>
    <w:rsid w:val="007277C4"/>
    <w:rsid w:val="0073078B"/>
    <w:rsid w:val="0073192C"/>
    <w:rsid w:val="00732064"/>
    <w:rsid w:val="00732CBB"/>
    <w:rsid w:val="00733490"/>
    <w:rsid w:val="00734D69"/>
    <w:rsid w:val="00735A76"/>
    <w:rsid w:val="00735DE2"/>
    <w:rsid w:val="00736465"/>
    <w:rsid w:val="00736DD8"/>
    <w:rsid w:val="0074077F"/>
    <w:rsid w:val="00740C4B"/>
    <w:rsid w:val="00741471"/>
    <w:rsid w:val="007459BF"/>
    <w:rsid w:val="0074629F"/>
    <w:rsid w:val="007476AD"/>
    <w:rsid w:val="00750BD5"/>
    <w:rsid w:val="00752191"/>
    <w:rsid w:val="00753DDA"/>
    <w:rsid w:val="007550E2"/>
    <w:rsid w:val="007555C3"/>
    <w:rsid w:val="0076395E"/>
    <w:rsid w:val="00763D67"/>
    <w:rsid w:val="00772091"/>
    <w:rsid w:val="00772EB7"/>
    <w:rsid w:val="007732B4"/>
    <w:rsid w:val="00776E58"/>
    <w:rsid w:val="00777864"/>
    <w:rsid w:val="00780A00"/>
    <w:rsid w:val="007822F7"/>
    <w:rsid w:val="00783387"/>
    <w:rsid w:val="00783594"/>
    <w:rsid w:val="0078472B"/>
    <w:rsid w:val="0078477D"/>
    <w:rsid w:val="007865E4"/>
    <w:rsid w:val="00786F19"/>
    <w:rsid w:val="0078796B"/>
    <w:rsid w:val="00787E99"/>
    <w:rsid w:val="007918B5"/>
    <w:rsid w:val="007935B8"/>
    <w:rsid w:val="00795FD1"/>
    <w:rsid w:val="00796CE2"/>
    <w:rsid w:val="0079786B"/>
    <w:rsid w:val="007A0C06"/>
    <w:rsid w:val="007A0F11"/>
    <w:rsid w:val="007A336E"/>
    <w:rsid w:val="007A3987"/>
    <w:rsid w:val="007A4F4C"/>
    <w:rsid w:val="007A5E10"/>
    <w:rsid w:val="007A6E4D"/>
    <w:rsid w:val="007B2959"/>
    <w:rsid w:val="007B4328"/>
    <w:rsid w:val="007B7229"/>
    <w:rsid w:val="007C04CD"/>
    <w:rsid w:val="007C5F94"/>
    <w:rsid w:val="007C7857"/>
    <w:rsid w:val="007D1DEF"/>
    <w:rsid w:val="007E08CE"/>
    <w:rsid w:val="007E28F4"/>
    <w:rsid w:val="007E3A2C"/>
    <w:rsid w:val="007E55CD"/>
    <w:rsid w:val="007E56B3"/>
    <w:rsid w:val="007E6AB5"/>
    <w:rsid w:val="007E7273"/>
    <w:rsid w:val="007F1991"/>
    <w:rsid w:val="007F2336"/>
    <w:rsid w:val="007F2CB5"/>
    <w:rsid w:val="007F45B2"/>
    <w:rsid w:val="007F638F"/>
    <w:rsid w:val="007F66E2"/>
    <w:rsid w:val="007F68EC"/>
    <w:rsid w:val="007F779F"/>
    <w:rsid w:val="007F7E60"/>
    <w:rsid w:val="00800AAD"/>
    <w:rsid w:val="00803652"/>
    <w:rsid w:val="008042D9"/>
    <w:rsid w:val="008078D9"/>
    <w:rsid w:val="0081328D"/>
    <w:rsid w:val="00814B41"/>
    <w:rsid w:val="0081553A"/>
    <w:rsid w:val="00815902"/>
    <w:rsid w:val="00816B51"/>
    <w:rsid w:val="008202C7"/>
    <w:rsid w:val="008223C8"/>
    <w:rsid w:val="008233E1"/>
    <w:rsid w:val="00824017"/>
    <w:rsid w:val="008249F9"/>
    <w:rsid w:val="00826BC9"/>
    <w:rsid w:val="00830308"/>
    <w:rsid w:val="008314A8"/>
    <w:rsid w:val="008332E0"/>
    <w:rsid w:val="00833615"/>
    <w:rsid w:val="0083375F"/>
    <w:rsid w:val="00834B1D"/>
    <w:rsid w:val="00841550"/>
    <w:rsid w:val="0084166E"/>
    <w:rsid w:val="00842ECC"/>
    <w:rsid w:val="00843C32"/>
    <w:rsid w:val="00845FE9"/>
    <w:rsid w:val="00850DD5"/>
    <w:rsid w:val="0085183F"/>
    <w:rsid w:val="00853F75"/>
    <w:rsid w:val="00854B70"/>
    <w:rsid w:val="00854FCB"/>
    <w:rsid w:val="00855C2F"/>
    <w:rsid w:val="00857E0A"/>
    <w:rsid w:val="008620F5"/>
    <w:rsid w:val="008640AF"/>
    <w:rsid w:val="0086682B"/>
    <w:rsid w:val="00870598"/>
    <w:rsid w:val="0087071A"/>
    <w:rsid w:val="0087076E"/>
    <w:rsid w:val="00871092"/>
    <w:rsid w:val="00880448"/>
    <w:rsid w:val="008817A8"/>
    <w:rsid w:val="008819DD"/>
    <w:rsid w:val="00881CDA"/>
    <w:rsid w:val="00883ECA"/>
    <w:rsid w:val="00884834"/>
    <w:rsid w:val="00884871"/>
    <w:rsid w:val="00884B52"/>
    <w:rsid w:val="00884DEA"/>
    <w:rsid w:val="00885F7B"/>
    <w:rsid w:val="00890A7F"/>
    <w:rsid w:val="0089449B"/>
    <w:rsid w:val="0089467A"/>
    <w:rsid w:val="00895C09"/>
    <w:rsid w:val="00895D04"/>
    <w:rsid w:val="008A0365"/>
    <w:rsid w:val="008A093F"/>
    <w:rsid w:val="008A0A8D"/>
    <w:rsid w:val="008A1B1E"/>
    <w:rsid w:val="008A4D1C"/>
    <w:rsid w:val="008A6F46"/>
    <w:rsid w:val="008B0DA5"/>
    <w:rsid w:val="008B5878"/>
    <w:rsid w:val="008C0D24"/>
    <w:rsid w:val="008C2262"/>
    <w:rsid w:val="008C2639"/>
    <w:rsid w:val="008D1BF9"/>
    <w:rsid w:val="008D3F89"/>
    <w:rsid w:val="008D47E5"/>
    <w:rsid w:val="008D6A8A"/>
    <w:rsid w:val="008D6E98"/>
    <w:rsid w:val="008D704A"/>
    <w:rsid w:val="008D759D"/>
    <w:rsid w:val="008D7B4F"/>
    <w:rsid w:val="008E1251"/>
    <w:rsid w:val="008E1FBF"/>
    <w:rsid w:val="008E3850"/>
    <w:rsid w:val="008E557A"/>
    <w:rsid w:val="008E6DF2"/>
    <w:rsid w:val="008E7CB6"/>
    <w:rsid w:val="008F0B59"/>
    <w:rsid w:val="008F145E"/>
    <w:rsid w:val="008F1B44"/>
    <w:rsid w:val="008F54E2"/>
    <w:rsid w:val="008F5A63"/>
    <w:rsid w:val="008F6A86"/>
    <w:rsid w:val="00903A82"/>
    <w:rsid w:val="0090646B"/>
    <w:rsid w:val="00907188"/>
    <w:rsid w:val="00907EA4"/>
    <w:rsid w:val="009105EB"/>
    <w:rsid w:val="009139C0"/>
    <w:rsid w:val="009152A9"/>
    <w:rsid w:val="00916568"/>
    <w:rsid w:val="009168C9"/>
    <w:rsid w:val="00916A85"/>
    <w:rsid w:val="009201DB"/>
    <w:rsid w:val="00920AD6"/>
    <w:rsid w:val="00921624"/>
    <w:rsid w:val="00921DDF"/>
    <w:rsid w:val="00925FA0"/>
    <w:rsid w:val="00932599"/>
    <w:rsid w:val="00935244"/>
    <w:rsid w:val="00936B49"/>
    <w:rsid w:val="00941433"/>
    <w:rsid w:val="00941F87"/>
    <w:rsid w:val="00944BB1"/>
    <w:rsid w:val="00945206"/>
    <w:rsid w:val="0094637C"/>
    <w:rsid w:val="009479DB"/>
    <w:rsid w:val="00950124"/>
    <w:rsid w:val="00950715"/>
    <w:rsid w:val="009518AF"/>
    <w:rsid w:val="00951B27"/>
    <w:rsid w:val="00952365"/>
    <w:rsid w:val="00952E44"/>
    <w:rsid w:val="00953618"/>
    <w:rsid w:val="0095470B"/>
    <w:rsid w:val="00960B72"/>
    <w:rsid w:val="00962F61"/>
    <w:rsid w:val="0096346E"/>
    <w:rsid w:val="00964706"/>
    <w:rsid w:val="009654F4"/>
    <w:rsid w:val="00965C4D"/>
    <w:rsid w:val="00971369"/>
    <w:rsid w:val="00971BCE"/>
    <w:rsid w:val="0097290A"/>
    <w:rsid w:val="00973DBA"/>
    <w:rsid w:val="009766A0"/>
    <w:rsid w:val="0098134D"/>
    <w:rsid w:val="009835BA"/>
    <w:rsid w:val="00984DC0"/>
    <w:rsid w:val="00986071"/>
    <w:rsid w:val="00992200"/>
    <w:rsid w:val="00992C7B"/>
    <w:rsid w:val="0099400B"/>
    <w:rsid w:val="00995343"/>
    <w:rsid w:val="009A06D8"/>
    <w:rsid w:val="009A0E06"/>
    <w:rsid w:val="009A3954"/>
    <w:rsid w:val="009B1F2F"/>
    <w:rsid w:val="009B30A3"/>
    <w:rsid w:val="009B3917"/>
    <w:rsid w:val="009B4696"/>
    <w:rsid w:val="009C021F"/>
    <w:rsid w:val="009C08DE"/>
    <w:rsid w:val="009C1508"/>
    <w:rsid w:val="009C67A8"/>
    <w:rsid w:val="009D0C0C"/>
    <w:rsid w:val="009D1244"/>
    <w:rsid w:val="009D17E3"/>
    <w:rsid w:val="009D3785"/>
    <w:rsid w:val="009D37B0"/>
    <w:rsid w:val="009D4E8E"/>
    <w:rsid w:val="009D5545"/>
    <w:rsid w:val="009D5F41"/>
    <w:rsid w:val="009D6587"/>
    <w:rsid w:val="009D65E5"/>
    <w:rsid w:val="009D6BF1"/>
    <w:rsid w:val="009D7C30"/>
    <w:rsid w:val="009E3157"/>
    <w:rsid w:val="009E36D6"/>
    <w:rsid w:val="009E3C44"/>
    <w:rsid w:val="009E4207"/>
    <w:rsid w:val="009E48EA"/>
    <w:rsid w:val="009E4A40"/>
    <w:rsid w:val="009E4DD1"/>
    <w:rsid w:val="009E5896"/>
    <w:rsid w:val="009E6C8F"/>
    <w:rsid w:val="009E6F20"/>
    <w:rsid w:val="009E7348"/>
    <w:rsid w:val="009E7754"/>
    <w:rsid w:val="009E7E4F"/>
    <w:rsid w:val="009F037A"/>
    <w:rsid w:val="009F0ACA"/>
    <w:rsid w:val="009F27CD"/>
    <w:rsid w:val="009F34F2"/>
    <w:rsid w:val="009F39B0"/>
    <w:rsid w:val="009F4D1D"/>
    <w:rsid w:val="009F4E83"/>
    <w:rsid w:val="009F515E"/>
    <w:rsid w:val="009F5E1B"/>
    <w:rsid w:val="009F6983"/>
    <w:rsid w:val="009F6C90"/>
    <w:rsid w:val="009F7690"/>
    <w:rsid w:val="009F794B"/>
    <w:rsid w:val="009F7F1B"/>
    <w:rsid w:val="00A00823"/>
    <w:rsid w:val="00A01790"/>
    <w:rsid w:val="00A01BCD"/>
    <w:rsid w:val="00A02F85"/>
    <w:rsid w:val="00A032F6"/>
    <w:rsid w:val="00A04B7A"/>
    <w:rsid w:val="00A0531D"/>
    <w:rsid w:val="00A06A96"/>
    <w:rsid w:val="00A104C0"/>
    <w:rsid w:val="00A10B9A"/>
    <w:rsid w:val="00A10C93"/>
    <w:rsid w:val="00A11AA5"/>
    <w:rsid w:val="00A127BF"/>
    <w:rsid w:val="00A12E7F"/>
    <w:rsid w:val="00A13339"/>
    <w:rsid w:val="00A14476"/>
    <w:rsid w:val="00A15EF1"/>
    <w:rsid w:val="00A1663D"/>
    <w:rsid w:val="00A16D27"/>
    <w:rsid w:val="00A16FC8"/>
    <w:rsid w:val="00A17771"/>
    <w:rsid w:val="00A17F4B"/>
    <w:rsid w:val="00A222D9"/>
    <w:rsid w:val="00A22AC8"/>
    <w:rsid w:val="00A24D2B"/>
    <w:rsid w:val="00A345D3"/>
    <w:rsid w:val="00A34A81"/>
    <w:rsid w:val="00A36A27"/>
    <w:rsid w:val="00A36BFB"/>
    <w:rsid w:val="00A400D9"/>
    <w:rsid w:val="00A4119B"/>
    <w:rsid w:val="00A41AB7"/>
    <w:rsid w:val="00A4226D"/>
    <w:rsid w:val="00A4251C"/>
    <w:rsid w:val="00A4265E"/>
    <w:rsid w:val="00A4287E"/>
    <w:rsid w:val="00A430F2"/>
    <w:rsid w:val="00A4465F"/>
    <w:rsid w:val="00A46272"/>
    <w:rsid w:val="00A47389"/>
    <w:rsid w:val="00A47D7C"/>
    <w:rsid w:val="00A5176E"/>
    <w:rsid w:val="00A51799"/>
    <w:rsid w:val="00A51FB1"/>
    <w:rsid w:val="00A5327D"/>
    <w:rsid w:val="00A54FA9"/>
    <w:rsid w:val="00A569FD"/>
    <w:rsid w:val="00A56A6C"/>
    <w:rsid w:val="00A576BA"/>
    <w:rsid w:val="00A57BF4"/>
    <w:rsid w:val="00A57D73"/>
    <w:rsid w:val="00A6093F"/>
    <w:rsid w:val="00A6121F"/>
    <w:rsid w:val="00A627F8"/>
    <w:rsid w:val="00A62B8E"/>
    <w:rsid w:val="00A6347E"/>
    <w:rsid w:val="00A66AF6"/>
    <w:rsid w:val="00A71268"/>
    <w:rsid w:val="00A74912"/>
    <w:rsid w:val="00A74970"/>
    <w:rsid w:val="00A75787"/>
    <w:rsid w:val="00A75A03"/>
    <w:rsid w:val="00A765D7"/>
    <w:rsid w:val="00A77BF2"/>
    <w:rsid w:val="00A822EE"/>
    <w:rsid w:val="00A82568"/>
    <w:rsid w:val="00A82A86"/>
    <w:rsid w:val="00A8356C"/>
    <w:rsid w:val="00A87AA3"/>
    <w:rsid w:val="00A90CD8"/>
    <w:rsid w:val="00A92912"/>
    <w:rsid w:val="00A9341C"/>
    <w:rsid w:val="00A940C7"/>
    <w:rsid w:val="00A97A59"/>
    <w:rsid w:val="00AA0771"/>
    <w:rsid w:val="00AA1141"/>
    <w:rsid w:val="00AA2E1C"/>
    <w:rsid w:val="00AA2F9D"/>
    <w:rsid w:val="00AA5DDF"/>
    <w:rsid w:val="00AA624A"/>
    <w:rsid w:val="00AA69FB"/>
    <w:rsid w:val="00AB055B"/>
    <w:rsid w:val="00AB0A6D"/>
    <w:rsid w:val="00AB5DAD"/>
    <w:rsid w:val="00AB6692"/>
    <w:rsid w:val="00AC0B66"/>
    <w:rsid w:val="00AC2BF8"/>
    <w:rsid w:val="00AC40F4"/>
    <w:rsid w:val="00AC5C03"/>
    <w:rsid w:val="00AC658A"/>
    <w:rsid w:val="00AD19F4"/>
    <w:rsid w:val="00AD30E5"/>
    <w:rsid w:val="00AD710B"/>
    <w:rsid w:val="00AE1026"/>
    <w:rsid w:val="00AE12B6"/>
    <w:rsid w:val="00AE1722"/>
    <w:rsid w:val="00AE1F80"/>
    <w:rsid w:val="00AE2355"/>
    <w:rsid w:val="00AE2BF6"/>
    <w:rsid w:val="00AE2FF6"/>
    <w:rsid w:val="00AE5AB8"/>
    <w:rsid w:val="00AE5BC6"/>
    <w:rsid w:val="00AE6F52"/>
    <w:rsid w:val="00AE71B6"/>
    <w:rsid w:val="00AE78EF"/>
    <w:rsid w:val="00AF21A5"/>
    <w:rsid w:val="00AF21F3"/>
    <w:rsid w:val="00AF220F"/>
    <w:rsid w:val="00AF2F09"/>
    <w:rsid w:val="00AF2FB1"/>
    <w:rsid w:val="00AF387C"/>
    <w:rsid w:val="00AF547D"/>
    <w:rsid w:val="00AF6C01"/>
    <w:rsid w:val="00B0289B"/>
    <w:rsid w:val="00B034F5"/>
    <w:rsid w:val="00B03622"/>
    <w:rsid w:val="00B0598B"/>
    <w:rsid w:val="00B065EA"/>
    <w:rsid w:val="00B06652"/>
    <w:rsid w:val="00B124C1"/>
    <w:rsid w:val="00B14BA8"/>
    <w:rsid w:val="00B2539C"/>
    <w:rsid w:val="00B25586"/>
    <w:rsid w:val="00B302CD"/>
    <w:rsid w:val="00B3054F"/>
    <w:rsid w:val="00B30563"/>
    <w:rsid w:val="00B306F5"/>
    <w:rsid w:val="00B31234"/>
    <w:rsid w:val="00B3392B"/>
    <w:rsid w:val="00B33CC7"/>
    <w:rsid w:val="00B363A9"/>
    <w:rsid w:val="00B36A0D"/>
    <w:rsid w:val="00B378B5"/>
    <w:rsid w:val="00B429BB"/>
    <w:rsid w:val="00B42C7F"/>
    <w:rsid w:val="00B42FD6"/>
    <w:rsid w:val="00B431B0"/>
    <w:rsid w:val="00B438AB"/>
    <w:rsid w:val="00B446BB"/>
    <w:rsid w:val="00B46A36"/>
    <w:rsid w:val="00B47A71"/>
    <w:rsid w:val="00B47DF3"/>
    <w:rsid w:val="00B53713"/>
    <w:rsid w:val="00B541C6"/>
    <w:rsid w:val="00B55F73"/>
    <w:rsid w:val="00B56E60"/>
    <w:rsid w:val="00B5727E"/>
    <w:rsid w:val="00B572DB"/>
    <w:rsid w:val="00B61E51"/>
    <w:rsid w:val="00B63EE3"/>
    <w:rsid w:val="00B70804"/>
    <w:rsid w:val="00B72DB1"/>
    <w:rsid w:val="00B73203"/>
    <w:rsid w:val="00B7323A"/>
    <w:rsid w:val="00B74BC3"/>
    <w:rsid w:val="00B756CF"/>
    <w:rsid w:val="00B75731"/>
    <w:rsid w:val="00B77264"/>
    <w:rsid w:val="00B80189"/>
    <w:rsid w:val="00B801E3"/>
    <w:rsid w:val="00B805A1"/>
    <w:rsid w:val="00B82EBB"/>
    <w:rsid w:val="00B8575F"/>
    <w:rsid w:val="00B8604D"/>
    <w:rsid w:val="00B90205"/>
    <w:rsid w:val="00B90385"/>
    <w:rsid w:val="00B92A11"/>
    <w:rsid w:val="00B96FED"/>
    <w:rsid w:val="00B971F1"/>
    <w:rsid w:val="00BA073C"/>
    <w:rsid w:val="00BA15C8"/>
    <w:rsid w:val="00BA1C9E"/>
    <w:rsid w:val="00BA27B8"/>
    <w:rsid w:val="00BA2D8D"/>
    <w:rsid w:val="00BA3667"/>
    <w:rsid w:val="00BA4E9E"/>
    <w:rsid w:val="00BA5AA3"/>
    <w:rsid w:val="00BB3285"/>
    <w:rsid w:val="00BB5483"/>
    <w:rsid w:val="00BB5950"/>
    <w:rsid w:val="00BB6B7D"/>
    <w:rsid w:val="00BB77F3"/>
    <w:rsid w:val="00BB7872"/>
    <w:rsid w:val="00BC0004"/>
    <w:rsid w:val="00BC0BF7"/>
    <w:rsid w:val="00BC1342"/>
    <w:rsid w:val="00BC1D96"/>
    <w:rsid w:val="00BC4CF8"/>
    <w:rsid w:val="00BC68BB"/>
    <w:rsid w:val="00BC7A60"/>
    <w:rsid w:val="00BD1700"/>
    <w:rsid w:val="00BD19C9"/>
    <w:rsid w:val="00BD21BA"/>
    <w:rsid w:val="00BD49BB"/>
    <w:rsid w:val="00BD5F0F"/>
    <w:rsid w:val="00BD6859"/>
    <w:rsid w:val="00BD6B5D"/>
    <w:rsid w:val="00BE0DEA"/>
    <w:rsid w:val="00BE0E2B"/>
    <w:rsid w:val="00BE24B4"/>
    <w:rsid w:val="00BE3E4E"/>
    <w:rsid w:val="00BE5177"/>
    <w:rsid w:val="00BE56A5"/>
    <w:rsid w:val="00BE6C72"/>
    <w:rsid w:val="00BF08A4"/>
    <w:rsid w:val="00BF1BFB"/>
    <w:rsid w:val="00BF1C5D"/>
    <w:rsid w:val="00BF3767"/>
    <w:rsid w:val="00BF72A0"/>
    <w:rsid w:val="00BF7DE4"/>
    <w:rsid w:val="00BF7E45"/>
    <w:rsid w:val="00C00017"/>
    <w:rsid w:val="00C02E8C"/>
    <w:rsid w:val="00C0302B"/>
    <w:rsid w:val="00C032AC"/>
    <w:rsid w:val="00C043DA"/>
    <w:rsid w:val="00C05067"/>
    <w:rsid w:val="00C05C2C"/>
    <w:rsid w:val="00C06991"/>
    <w:rsid w:val="00C06DE0"/>
    <w:rsid w:val="00C07A5E"/>
    <w:rsid w:val="00C13F99"/>
    <w:rsid w:val="00C16137"/>
    <w:rsid w:val="00C171CE"/>
    <w:rsid w:val="00C22132"/>
    <w:rsid w:val="00C2325E"/>
    <w:rsid w:val="00C23C2C"/>
    <w:rsid w:val="00C24F48"/>
    <w:rsid w:val="00C2547F"/>
    <w:rsid w:val="00C27767"/>
    <w:rsid w:val="00C32357"/>
    <w:rsid w:val="00C3294C"/>
    <w:rsid w:val="00C3424B"/>
    <w:rsid w:val="00C36C64"/>
    <w:rsid w:val="00C37FE0"/>
    <w:rsid w:val="00C40F69"/>
    <w:rsid w:val="00C41016"/>
    <w:rsid w:val="00C41277"/>
    <w:rsid w:val="00C42DC4"/>
    <w:rsid w:val="00C42E02"/>
    <w:rsid w:val="00C44A92"/>
    <w:rsid w:val="00C508AB"/>
    <w:rsid w:val="00C50DBD"/>
    <w:rsid w:val="00C53014"/>
    <w:rsid w:val="00C53A91"/>
    <w:rsid w:val="00C5642D"/>
    <w:rsid w:val="00C577CD"/>
    <w:rsid w:val="00C61A84"/>
    <w:rsid w:val="00C61CCF"/>
    <w:rsid w:val="00C61F80"/>
    <w:rsid w:val="00C65541"/>
    <w:rsid w:val="00C67512"/>
    <w:rsid w:val="00C67E20"/>
    <w:rsid w:val="00C70A5E"/>
    <w:rsid w:val="00C70C06"/>
    <w:rsid w:val="00C70F0F"/>
    <w:rsid w:val="00C716AE"/>
    <w:rsid w:val="00C716C4"/>
    <w:rsid w:val="00C7317B"/>
    <w:rsid w:val="00C735EB"/>
    <w:rsid w:val="00C73E8E"/>
    <w:rsid w:val="00C80178"/>
    <w:rsid w:val="00C81511"/>
    <w:rsid w:val="00C8287A"/>
    <w:rsid w:val="00C834B0"/>
    <w:rsid w:val="00C84E98"/>
    <w:rsid w:val="00C85780"/>
    <w:rsid w:val="00C865DC"/>
    <w:rsid w:val="00C8737F"/>
    <w:rsid w:val="00C877C9"/>
    <w:rsid w:val="00C90942"/>
    <w:rsid w:val="00C92672"/>
    <w:rsid w:val="00C9451F"/>
    <w:rsid w:val="00C95BA8"/>
    <w:rsid w:val="00C95C98"/>
    <w:rsid w:val="00C9698E"/>
    <w:rsid w:val="00C96B59"/>
    <w:rsid w:val="00C972DA"/>
    <w:rsid w:val="00CA3D30"/>
    <w:rsid w:val="00CA55AA"/>
    <w:rsid w:val="00CA7509"/>
    <w:rsid w:val="00CB2354"/>
    <w:rsid w:val="00CB39AB"/>
    <w:rsid w:val="00CB6343"/>
    <w:rsid w:val="00CB6373"/>
    <w:rsid w:val="00CB6775"/>
    <w:rsid w:val="00CB7642"/>
    <w:rsid w:val="00CB7945"/>
    <w:rsid w:val="00CC00DC"/>
    <w:rsid w:val="00CC0F1C"/>
    <w:rsid w:val="00CC226E"/>
    <w:rsid w:val="00CC29A5"/>
    <w:rsid w:val="00CC5231"/>
    <w:rsid w:val="00CC5C1D"/>
    <w:rsid w:val="00CC5E3D"/>
    <w:rsid w:val="00CC68AC"/>
    <w:rsid w:val="00CC7C2F"/>
    <w:rsid w:val="00CD19C7"/>
    <w:rsid w:val="00CD3789"/>
    <w:rsid w:val="00CD6992"/>
    <w:rsid w:val="00CE02A8"/>
    <w:rsid w:val="00CE4BB9"/>
    <w:rsid w:val="00CE57C8"/>
    <w:rsid w:val="00CE648D"/>
    <w:rsid w:val="00CE64F3"/>
    <w:rsid w:val="00CE66A6"/>
    <w:rsid w:val="00CF0E31"/>
    <w:rsid w:val="00CF2D97"/>
    <w:rsid w:val="00CF3288"/>
    <w:rsid w:val="00CF4095"/>
    <w:rsid w:val="00CF4189"/>
    <w:rsid w:val="00CF4254"/>
    <w:rsid w:val="00CF476D"/>
    <w:rsid w:val="00CF5DF4"/>
    <w:rsid w:val="00D00222"/>
    <w:rsid w:val="00D006C1"/>
    <w:rsid w:val="00D018D7"/>
    <w:rsid w:val="00D01BD6"/>
    <w:rsid w:val="00D031A8"/>
    <w:rsid w:val="00D04A36"/>
    <w:rsid w:val="00D06F64"/>
    <w:rsid w:val="00D077D3"/>
    <w:rsid w:val="00D12BD7"/>
    <w:rsid w:val="00D133D7"/>
    <w:rsid w:val="00D13B25"/>
    <w:rsid w:val="00D17F3F"/>
    <w:rsid w:val="00D20585"/>
    <w:rsid w:val="00D2163D"/>
    <w:rsid w:val="00D25DFD"/>
    <w:rsid w:val="00D26417"/>
    <w:rsid w:val="00D26C03"/>
    <w:rsid w:val="00D27B5D"/>
    <w:rsid w:val="00D30841"/>
    <w:rsid w:val="00D31D0E"/>
    <w:rsid w:val="00D32A04"/>
    <w:rsid w:val="00D34484"/>
    <w:rsid w:val="00D40981"/>
    <w:rsid w:val="00D41B05"/>
    <w:rsid w:val="00D4241E"/>
    <w:rsid w:val="00D43E53"/>
    <w:rsid w:val="00D4444A"/>
    <w:rsid w:val="00D447F4"/>
    <w:rsid w:val="00D477B3"/>
    <w:rsid w:val="00D50090"/>
    <w:rsid w:val="00D52A6C"/>
    <w:rsid w:val="00D52F5C"/>
    <w:rsid w:val="00D530D8"/>
    <w:rsid w:val="00D5478D"/>
    <w:rsid w:val="00D551DC"/>
    <w:rsid w:val="00D603F7"/>
    <w:rsid w:val="00D606D5"/>
    <w:rsid w:val="00D61279"/>
    <w:rsid w:val="00D62046"/>
    <w:rsid w:val="00D66889"/>
    <w:rsid w:val="00D66B9C"/>
    <w:rsid w:val="00D67DA1"/>
    <w:rsid w:val="00D70546"/>
    <w:rsid w:val="00D72828"/>
    <w:rsid w:val="00D824DD"/>
    <w:rsid w:val="00D83037"/>
    <w:rsid w:val="00D837BA"/>
    <w:rsid w:val="00D85151"/>
    <w:rsid w:val="00D8580C"/>
    <w:rsid w:val="00D85F26"/>
    <w:rsid w:val="00D86AFB"/>
    <w:rsid w:val="00D876E4"/>
    <w:rsid w:val="00D91D8A"/>
    <w:rsid w:val="00D92D99"/>
    <w:rsid w:val="00D94371"/>
    <w:rsid w:val="00D95880"/>
    <w:rsid w:val="00D962A1"/>
    <w:rsid w:val="00DA0B80"/>
    <w:rsid w:val="00DA0F92"/>
    <w:rsid w:val="00DA1EC8"/>
    <w:rsid w:val="00DA440F"/>
    <w:rsid w:val="00DA6509"/>
    <w:rsid w:val="00DA66F9"/>
    <w:rsid w:val="00DA73F4"/>
    <w:rsid w:val="00DA7F55"/>
    <w:rsid w:val="00DB084D"/>
    <w:rsid w:val="00DB1CC6"/>
    <w:rsid w:val="00DB3DE8"/>
    <w:rsid w:val="00DB7392"/>
    <w:rsid w:val="00DC11BB"/>
    <w:rsid w:val="00DC16FB"/>
    <w:rsid w:val="00DC202C"/>
    <w:rsid w:val="00DC50EB"/>
    <w:rsid w:val="00DC625D"/>
    <w:rsid w:val="00DD0F33"/>
    <w:rsid w:val="00DD16E5"/>
    <w:rsid w:val="00DD26C5"/>
    <w:rsid w:val="00DD31B0"/>
    <w:rsid w:val="00DD4F22"/>
    <w:rsid w:val="00DD727F"/>
    <w:rsid w:val="00DE30BF"/>
    <w:rsid w:val="00DE5F6C"/>
    <w:rsid w:val="00DE6335"/>
    <w:rsid w:val="00DE6AD8"/>
    <w:rsid w:val="00DE7902"/>
    <w:rsid w:val="00DF363C"/>
    <w:rsid w:val="00DF36E6"/>
    <w:rsid w:val="00DF4634"/>
    <w:rsid w:val="00DF564F"/>
    <w:rsid w:val="00E002AE"/>
    <w:rsid w:val="00E02E78"/>
    <w:rsid w:val="00E03EDB"/>
    <w:rsid w:val="00E04654"/>
    <w:rsid w:val="00E04994"/>
    <w:rsid w:val="00E10C2A"/>
    <w:rsid w:val="00E11B14"/>
    <w:rsid w:val="00E12601"/>
    <w:rsid w:val="00E126BE"/>
    <w:rsid w:val="00E13435"/>
    <w:rsid w:val="00E16FA7"/>
    <w:rsid w:val="00E17CE4"/>
    <w:rsid w:val="00E23D72"/>
    <w:rsid w:val="00E25068"/>
    <w:rsid w:val="00E25B8E"/>
    <w:rsid w:val="00E26058"/>
    <w:rsid w:val="00E2663C"/>
    <w:rsid w:val="00E275CC"/>
    <w:rsid w:val="00E31B65"/>
    <w:rsid w:val="00E3357B"/>
    <w:rsid w:val="00E33DE7"/>
    <w:rsid w:val="00E348D0"/>
    <w:rsid w:val="00E359AA"/>
    <w:rsid w:val="00E372A1"/>
    <w:rsid w:val="00E37F3F"/>
    <w:rsid w:val="00E436B4"/>
    <w:rsid w:val="00E4381C"/>
    <w:rsid w:val="00E43933"/>
    <w:rsid w:val="00E44A5F"/>
    <w:rsid w:val="00E46B55"/>
    <w:rsid w:val="00E4707F"/>
    <w:rsid w:val="00E4753F"/>
    <w:rsid w:val="00E47A65"/>
    <w:rsid w:val="00E51FE2"/>
    <w:rsid w:val="00E52F33"/>
    <w:rsid w:val="00E54739"/>
    <w:rsid w:val="00E56B55"/>
    <w:rsid w:val="00E6104B"/>
    <w:rsid w:val="00E643D1"/>
    <w:rsid w:val="00E64455"/>
    <w:rsid w:val="00E660CE"/>
    <w:rsid w:val="00E6615F"/>
    <w:rsid w:val="00E662E0"/>
    <w:rsid w:val="00E6678D"/>
    <w:rsid w:val="00E6776B"/>
    <w:rsid w:val="00E72BFF"/>
    <w:rsid w:val="00E752CC"/>
    <w:rsid w:val="00E75AE7"/>
    <w:rsid w:val="00E77A62"/>
    <w:rsid w:val="00E81974"/>
    <w:rsid w:val="00E82050"/>
    <w:rsid w:val="00E82825"/>
    <w:rsid w:val="00E85135"/>
    <w:rsid w:val="00E85353"/>
    <w:rsid w:val="00E8537F"/>
    <w:rsid w:val="00E858F0"/>
    <w:rsid w:val="00E86580"/>
    <w:rsid w:val="00E87B25"/>
    <w:rsid w:val="00E90274"/>
    <w:rsid w:val="00E9212F"/>
    <w:rsid w:val="00E93AFE"/>
    <w:rsid w:val="00E97964"/>
    <w:rsid w:val="00EA20BC"/>
    <w:rsid w:val="00EA276A"/>
    <w:rsid w:val="00EA3B28"/>
    <w:rsid w:val="00EA4D5C"/>
    <w:rsid w:val="00EA4F90"/>
    <w:rsid w:val="00EA5214"/>
    <w:rsid w:val="00EA738A"/>
    <w:rsid w:val="00EB0111"/>
    <w:rsid w:val="00EB1190"/>
    <w:rsid w:val="00EB1A49"/>
    <w:rsid w:val="00EB239A"/>
    <w:rsid w:val="00EB6192"/>
    <w:rsid w:val="00EB66A6"/>
    <w:rsid w:val="00EB701F"/>
    <w:rsid w:val="00EC120A"/>
    <w:rsid w:val="00EC170B"/>
    <w:rsid w:val="00EC4FCF"/>
    <w:rsid w:val="00EC5432"/>
    <w:rsid w:val="00ED17D7"/>
    <w:rsid w:val="00ED279E"/>
    <w:rsid w:val="00ED3458"/>
    <w:rsid w:val="00ED51E5"/>
    <w:rsid w:val="00ED5B75"/>
    <w:rsid w:val="00ED6A88"/>
    <w:rsid w:val="00ED6C6D"/>
    <w:rsid w:val="00ED6D14"/>
    <w:rsid w:val="00ED7BFF"/>
    <w:rsid w:val="00ED7C2B"/>
    <w:rsid w:val="00EE0B43"/>
    <w:rsid w:val="00EE3BFE"/>
    <w:rsid w:val="00EE4840"/>
    <w:rsid w:val="00EE4F39"/>
    <w:rsid w:val="00EE6286"/>
    <w:rsid w:val="00EE72EA"/>
    <w:rsid w:val="00EF2C2D"/>
    <w:rsid w:val="00EF39A1"/>
    <w:rsid w:val="00EF62E6"/>
    <w:rsid w:val="00F01A6E"/>
    <w:rsid w:val="00F0232B"/>
    <w:rsid w:val="00F024A8"/>
    <w:rsid w:val="00F030CD"/>
    <w:rsid w:val="00F06257"/>
    <w:rsid w:val="00F12B4B"/>
    <w:rsid w:val="00F1588B"/>
    <w:rsid w:val="00F17115"/>
    <w:rsid w:val="00F17233"/>
    <w:rsid w:val="00F2150D"/>
    <w:rsid w:val="00F22E73"/>
    <w:rsid w:val="00F23F4E"/>
    <w:rsid w:val="00F24E0E"/>
    <w:rsid w:val="00F27252"/>
    <w:rsid w:val="00F331CF"/>
    <w:rsid w:val="00F334AE"/>
    <w:rsid w:val="00F33DA0"/>
    <w:rsid w:val="00F36683"/>
    <w:rsid w:val="00F36B50"/>
    <w:rsid w:val="00F40EBF"/>
    <w:rsid w:val="00F4196B"/>
    <w:rsid w:val="00F419DF"/>
    <w:rsid w:val="00F41C54"/>
    <w:rsid w:val="00F41D94"/>
    <w:rsid w:val="00F43EA9"/>
    <w:rsid w:val="00F440FF"/>
    <w:rsid w:val="00F44E92"/>
    <w:rsid w:val="00F46477"/>
    <w:rsid w:val="00F47B9D"/>
    <w:rsid w:val="00F506B5"/>
    <w:rsid w:val="00F51693"/>
    <w:rsid w:val="00F51966"/>
    <w:rsid w:val="00F527A1"/>
    <w:rsid w:val="00F52BE8"/>
    <w:rsid w:val="00F52EC7"/>
    <w:rsid w:val="00F546CD"/>
    <w:rsid w:val="00F55389"/>
    <w:rsid w:val="00F60135"/>
    <w:rsid w:val="00F60DA4"/>
    <w:rsid w:val="00F641ED"/>
    <w:rsid w:val="00F65F1F"/>
    <w:rsid w:val="00F6601C"/>
    <w:rsid w:val="00F6694C"/>
    <w:rsid w:val="00F7321B"/>
    <w:rsid w:val="00F73523"/>
    <w:rsid w:val="00F76CD6"/>
    <w:rsid w:val="00F80B9D"/>
    <w:rsid w:val="00F826FD"/>
    <w:rsid w:val="00F8289A"/>
    <w:rsid w:val="00F82931"/>
    <w:rsid w:val="00F83685"/>
    <w:rsid w:val="00F836F6"/>
    <w:rsid w:val="00F83968"/>
    <w:rsid w:val="00F83F04"/>
    <w:rsid w:val="00F848C5"/>
    <w:rsid w:val="00F84E3B"/>
    <w:rsid w:val="00F85F4B"/>
    <w:rsid w:val="00F877DD"/>
    <w:rsid w:val="00F90A85"/>
    <w:rsid w:val="00F95318"/>
    <w:rsid w:val="00F95BE9"/>
    <w:rsid w:val="00F97AA3"/>
    <w:rsid w:val="00FA09D4"/>
    <w:rsid w:val="00FA1EA9"/>
    <w:rsid w:val="00FA3767"/>
    <w:rsid w:val="00FA52FB"/>
    <w:rsid w:val="00FA6C1A"/>
    <w:rsid w:val="00FA6F12"/>
    <w:rsid w:val="00FA76FA"/>
    <w:rsid w:val="00FB0565"/>
    <w:rsid w:val="00FB164F"/>
    <w:rsid w:val="00FB5F94"/>
    <w:rsid w:val="00FB68F9"/>
    <w:rsid w:val="00FB721F"/>
    <w:rsid w:val="00FC0E16"/>
    <w:rsid w:val="00FC6268"/>
    <w:rsid w:val="00FC771F"/>
    <w:rsid w:val="00FD1145"/>
    <w:rsid w:val="00FD1352"/>
    <w:rsid w:val="00FD1817"/>
    <w:rsid w:val="00FD44D5"/>
    <w:rsid w:val="00FD460A"/>
    <w:rsid w:val="00FD50C3"/>
    <w:rsid w:val="00FE0453"/>
    <w:rsid w:val="00FE04B9"/>
    <w:rsid w:val="00FE14A6"/>
    <w:rsid w:val="00FE3381"/>
    <w:rsid w:val="00FE372A"/>
    <w:rsid w:val="00FE497B"/>
    <w:rsid w:val="00FE5955"/>
    <w:rsid w:val="00FE7700"/>
    <w:rsid w:val="00FF0A55"/>
    <w:rsid w:val="00FF1256"/>
    <w:rsid w:val="00FF183E"/>
    <w:rsid w:val="00FF3F21"/>
    <w:rsid w:val="00FF40AC"/>
    <w:rsid w:val="00FF48AF"/>
    <w:rsid w:val="010372A1"/>
    <w:rsid w:val="012B6109"/>
    <w:rsid w:val="01D42A3B"/>
    <w:rsid w:val="021331C0"/>
    <w:rsid w:val="02150ECF"/>
    <w:rsid w:val="021717AD"/>
    <w:rsid w:val="021D324E"/>
    <w:rsid w:val="025B31A7"/>
    <w:rsid w:val="0269643F"/>
    <w:rsid w:val="027C3321"/>
    <w:rsid w:val="02C93B12"/>
    <w:rsid w:val="037605AD"/>
    <w:rsid w:val="03835156"/>
    <w:rsid w:val="039D2645"/>
    <w:rsid w:val="04037AB6"/>
    <w:rsid w:val="04A80512"/>
    <w:rsid w:val="05003142"/>
    <w:rsid w:val="05380DF8"/>
    <w:rsid w:val="053F2AC1"/>
    <w:rsid w:val="054E6F21"/>
    <w:rsid w:val="05AA6133"/>
    <w:rsid w:val="05E93CB0"/>
    <w:rsid w:val="06C70295"/>
    <w:rsid w:val="06F76CF3"/>
    <w:rsid w:val="07260735"/>
    <w:rsid w:val="07334388"/>
    <w:rsid w:val="07B41FE5"/>
    <w:rsid w:val="07E5385B"/>
    <w:rsid w:val="07EA3E65"/>
    <w:rsid w:val="07FE79DB"/>
    <w:rsid w:val="0815420B"/>
    <w:rsid w:val="08197316"/>
    <w:rsid w:val="084C193A"/>
    <w:rsid w:val="085A5F50"/>
    <w:rsid w:val="086D1D44"/>
    <w:rsid w:val="09032AD2"/>
    <w:rsid w:val="090A7A36"/>
    <w:rsid w:val="0925089C"/>
    <w:rsid w:val="09CB550B"/>
    <w:rsid w:val="09F71A0F"/>
    <w:rsid w:val="0A333DC8"/>
    <w:rsid w:val="0A996394"/>
    <w:rsid w:val="0AAD0A2E"/>
    <w:rsid w:val="0AAF715C"/>
    <w:rsid w:val="0AEB3522"/>
    <w:rsid w:val="0B1B21E7"/>
    <w:rsid w:val="0B4E4E9C"/>
    <w:rsid w:val="0B531BA8"/>
    <w:rsid w:val="0B8475DA"/>
    <w:rsid w:val="0B8C4853"/>
    <w:rsid w:val="0BF64188"/>
    <w:rsid w:val="0C1057E6"/>
    <w:rsid w:val="0C1D1C15"/>
    <w:rsid w:val="0C3A3034"/>
    <w:rsid w:val="0C7A0505"/>
    <w:rsid w:val="0CF930F4"/>
    <w:rsid w:val="0D12445B"/>
    <w:rsid w:val="0D286138"/>
    <w:rsid w:val="0D434B87"/>
    <w:rsid w:val="0D7B2445"/>
    <w:rsid w:val="0DF03D3A"/>
    <w:rsid w:val="0E426F1D"/>
    <w:rsid w:val="0EEF07B0"/>
    <w:rsid w:val="0F0025F9"/>
    <w:rsid w:val="0F3B0AC1"/>
    <w:rsid w:val="0F4B3182"/>
    <w:rsid w:val="0F6D7D00"/>
    <w:rsid w:val="0F9A5DC1"/>
    <w:rsid w:val="0FCD56F6"/>
    <w:rsid w:val="0FD611C4"/>
    <w:rsid w:val="0FD61BF6"/>
    <w:rsid w:val="0FE53689"/>
    <w:rsid w:val="102175E7"/>
    <w:rsid w:val="10553E31"/>
    <w:rsid w:val="108C0D8C"/>
    <w:rsid w:val="110D2461"/>
    <w:rsid w:val="113021B2"/>
    <w:rsid w:val="1161421F"/>
    <w:rsid w:val="124E70EA"/>
    <w:rsid w:val="12CD4280"/>
    <w:rsid w:val="12E865F9"/>
    <w:rsid w:val="133A2D10"/>
    <w:rsid w:val="133E35D6"/>
    <w:rsid w:val="13651848"/>
    <w:rsid w:val="138732A4"/>
    <w:rsid w:val="13E00E24"/>
    <w:rsid w:val="14012F2C"/>
    <w:rsid w:val="140A6CDB"/>
    <w:rsid w:val="142A37C1"/>
    <w:rsid w:val="145C6A94"/>
    <w:rsid w:val="149771B1"/>
    <w:rsid w:val="14AF1F0A"/>
    <w:rsid w:val="14C64C4E"/>
    <w:rsid w:val="14D95DEC"/>
    <w:rsid w:val="15053BB9"/>
    <w:rsid w:val="150F24E7"/>
    <w:rsid w:val="151204D1"/>
    <w:rsid w:val="15224823"/>
    <w:rsid w:val="152C43A9"/>
    <w:rsid w:val="154E0957"/>
    <w:rsid w:val="15507B89"/>
    <w:rsid w:val="15DC5FC1"/>
    <w:rsid w:val="15F95957"/>
    <w:rsid w:val="16155289"/>
    <w:rsid w:val="166F399B"/>
    <w:rsid w:val="17044EE6"/>
    <w:rsid w:val="174A36C4"/>
    <w:rsid w:val="17666CAF"/>
    <w:rsid w:val="178F155D"/>
    <w:rsid w:val="17904C71"/>
    <w:rsid w:val="17C804EB"/>
    <w:rsid w:val="17CB36F5"/>
    <w:rsid w:val="18071056"/>
    <w:rsid w:val="18222292"/>
    <w:rsid w:val="182B3AE2"/>
    <w:rsid w:val="18413720"/>
    <w:rsid w:val="18475F7B"/>
    <w:rsid w:val="18670E8D"/>
    <w:rsid w:val="189B09E5"/>
    <w:rsid w:val="18D15AAC"/>
    <w:rsid w:val="18EF2374"/>
    <w:rsid w:val="192D2DEB"/>
    <w:rsid w:val="19AD5109"/>
    <w:rsid w:val="1A2A1025"/>
    <w:rsid w:val="1A380BCF"/>
    <w:rsid w:val="1A652D75"/>
    <w:rsid w:val="1A6B2DFF"/>
    <w:rsid w:val="1A793CE6"/>
    <w:rsid w:val="1AA62598"/>
    <w:rsid w:val="1AB6614A"/>
    <w:rsid w:val="1ADD60FF"/>
    <w:rsid w:val="1B60107B"/>
    <w:rsid w:val="1B9C3E49"/>
    <w:rsid w:val="1BAE5DF8"/>
    <w:rsid w:val="1C21599F"/>
    <w:rsid w:val="1C6A7BDF"/>
    <w:rsid w:val="1C824D5F"/>
    <w:rsid w:val="1CA567B8"/>
    <w:rsid w:val="1CA801DD"/>
    <w:rsid w:val="1CF363EC"/>
    <w:rsid w:val="1D11387E"/>
    <w:rsid w:val="1D275498"/>
    <w:rsid w:val="1D573265"/>
    <w:rsid w:val="1D9B6198"/>
    <w:rsid w:val="1DA8287B"/>
    <w:rsid w:val="1DCC68DC"/>
    <w:rsid w:val="1DD509A7"/>
    <w:rsid w:val="1DE51F7B"/>
    <w:rsid w:val="1DE70FDE"/>
    <w:rsid w:val="1DF220B4"/>
    <w:rsid w:val="1E0154C2"/>
    <w:rsid w:val="1E102DDA"/>
    <w:rsid w:val="1E37428D"/>
    <w:rsid w:val="1E936233"/>
    <w:rsid w:val="1EB05EEE"/>
    <w:rsid w:val="1EBD6EB7"/>
    <w:rsid w:val="1EE25F8A"/>
    <w:rsid w:val="1EE83FA9"/>
    <w:rsid w:val="1EF537FC"/>
    <w:rsid w:val="1F204D21"/>
    <w:rsid w:val="1F26188D"/>
    <w:rsid w:val="1F324886"/>
    <w:rsid w:val="1F59095F"/>
    <w:rsid w:val="1F862AA5"/>
    <w:rsid w:val="20537560"/>
    <w:rsid w:val="20A92919"/>
    <w:rsid w:val="20ED626D"/>
    <w:rsid w:val="210F3761"/>
    <w:rsid w:val="21370DC9"/>
    <w:rsid w:val="2137108A"/>
    <w:rsid w:val="21CD1686"/>
    <w:rsid w:val="22347165"/>
    <w:rsid w:val="22370558"/>
    <w:rsid w:val="22472296"/>
    <w:rsid w:val="22505430"/>
    <w:rsid w:val="225D5C37"/>
    <w:rsid w:val="22622964"/>
    <w:rsid w:val="226D7988"/>
    <w:rsid w:val="22A73AF5"/>
    <w:rsid w:val="22B223F0"/>
    <w:rsid w:val="22BA271F"/>
    <w:rsid w:val="22C33C4E"/>
    <w:rsid w:val="233B4E91"/>
    <w:rsid w:val="2345256C"/>
    <w:rsid w:val="235C4771"/>
    <w:rsid w:val="23737B15"/>
    <w:rsid w:val="23BD044E"/>
    <w:rsid w:val="24082E2D"/>
    <w:rsid w:val="249F2648"/>
    <w:rsid w:val="24A93ED6"/>
    <w:rsid w:val="24DF3520"/>
    <w:rsid w:val="25004BAC"/>
    <w:rsid w:val="25051F0B"/>
    <w:rsid w:val="2510206D"/>
    <w:rsid w:val="25511199"/>
    <w:rsid w:val="257609B5"/>
    <w:rsid w:val="25782C67"/>
    <w:rsid w:val="257C30D5"/>
    <w:rsid w:val="25BC2E53"/>
    <w:rsid w:val="25C02D93"/>
    <w:rsid w:val="2619429A"/>
    <w:rsid w:val="26554E31"/>
    <w:rsid w:val="26611119"/>
    <w:rsid w:val="26C67CDA"/>
    <w:rsid w:val="26CB0725"/>
    <w:rsid w:val="26E366CA"/>
    <w:rsid w:val="271C5029"/>
    <w:rsid w:val="2734496B"/>
    <w:rsid w:val="2760308D"/>
    <w:rsid w:val="278E22DD"/>
    <w:rsid w:val="27B66957"/>
    <w:rsid w:val="27BB4283"/>
    <w:rsid w:val="27C16CE7"/>
    <w:rsid w:val="27FC6382"/>
    <w:rsid w:val="2899139F"/>
    <w:rsid w:val="28DC4D38"/>
    <w:rsid w:val="28E01430"/>
    <w:rsid w:val="29011EB4"/>
    <w:rsid w:val="29164E0D"/>
    <w:rsid w:val="2918415D"/>
    <w:rsid w:val="293719A9"/>
    <w:rsid w:val="29721CDB"/>
    <w:rsid w:val="297B797F"/>
    <w:rsid w:val="297D7AB1"/>
    <w:rsid w:val="299067C4"/>
    <w:rsid w:val="29AB0821"/>
    <w:rsid w:val="29B1209D"/>
    <w:rsid w:val="29E71D36"/>
    <w:rsid w:val="29E72270"/>
    <w:rsid w:val="29EA2474"/>
    <w:rsid w:val="29F545C8"/>
    <w:rsid w:val="29F669D4"/>
    <w:rsid w:val="2A4D11E6"/>
    <w:rsid w:val="2A5A610B"/>
    <w:rsid w:val="2AB04C4A"/>
    <w:rsid w:val="2B54463A"/>
    <w:rsid w:val="2B5C6D74"/>
    <w:rsid w:val="2BB44F4A"/>
    <w:rsid w:val="2BD83DC1"/>
    <w:rsid w:val="2BF53F8F"/>
    <w:rsid w:val="2C364250"/>
    <w:rsid w:val="2C7D0D6C"/>
    <w:rsid w:val="2C9E6D59"/>
    <w:rsid w:val="2CA73B81"/>
    <w:rsid w:val="2CDE0240"/>
    <w:rsid w:val="2D232420"/>
    <w:rsid w:val="2D545097"/>
    <w:rsid w:val="2D562294"/>
    <w:rsid w:val="2D9D6179"/>
    <w:rsid w:val="2DC773DC"/>
    <w:rsid w:val="2DDA031F"/>
    <w:rsid w:val="2DDF43AB"/>
    <w:rsid w:val="2DFE6566"/>
    <w:rsid w:val="2E490DB6"/>
    <w:rsid w:val="2E6313CE"/>
    <w:rsid w:val="2E7835B9"/>
    <w:rsid w:val="2E9830C6"/>
    <w:rsid w:val="2EA37FAE"/>
    <w:rsid w:val="2ED42446"/>
    <w:rsid w:val="2F222BF9"/>
    <w:rsid w:val="2F3857A2"/>
    <w:rsid w:val="2F3F5F48"/>
    <w:rsid w:val="2F6C4DB8"/>
    <w:rsid w:val="2F803570"/>
    <w:rsid w:val="2F8F59AA"/>
    <w:rsid w:val="2F9C13CA"/>
    <w:rsid w:val="2FB95F3B"/>
    <w:rsid w:val="2FBB3E22"/>
    <w:rsid w:val="2FDA6CCF"/>
    <w:rsid w:val="2FEC530E"/>
    <w:rsid w:val="30172F96"/>
    <w:rsid w:val="304518F0"/>
    <w:rsid w:val="304B0BE6"/>
    <w:rsid w:val="304B7501"/>
    <w:rsid w:val="30906D29"/>
    <w:rsid w:val="30913CFC"/>
    <w:rsid w:val="30C023A4"/>
    <w:rsid w:val="30E220E0"/>
    <w:rsid w:val="314B5CC8"/>
    <w:rsid w:val="31A94EB0"/>
    <w:rsid w:val="31AB79CB"/>
    <w:rsid w:val="31E94133"/>
    <w:rsid w:val="32093B8A"/>
    <w:rsid w:val="32623300"/>
    <w:rsid w:val="33495975"/>
    <w:rsid w:val="33570009"/>
    <w:rsid w:val="335C73A4"/>
    <w:rsid w:val="337D4D2F"/>
    <w:rsid w:val="338C7FAF"/>
    <w:rsid w:val="33981B62"/>
    <w:rsid w:val="340A0099"/>
    <w:rsid w:val="34127EB1"/>
    <w:rsid w:val="342A6753"/>
    <w:rsid w:val="34774EBE"/>
    <w:rsid w:val="347C1C36"/>
    <w:rsid w:val="347F1E58"/>
    <w:rsid w:val="34AB6A30"/>
    <w:rsid w:val="34D47E1F"/>
    <w:rsid w:val="34E33E62"/>
    <w:rsid w:val="35A15F79"/>
    <w:rsid w:val="35AD628A"/>
    <w:rsid w:val="35AF3D69"/>
    <w:rsid w:val="35B90319"/>
    <w:rsid w:val="361B1C1E"/>
    <w:rsid w:val="365A744E"/>
    <w:rsid w:val="36894DD2"/>
    <w:rsid w:val="36EC7749"/>
    <w:rsid w:val="372866D2"/>
    <w:rsid w:val="373C3F0C"/>
    <w:rsid w:val="37C25FD0"/>
    <w:rsid w:val="37C40BCA"/>
    <w:rsid w:val="387C709B"/>
    <w:rsid w:val="38847761"/>
    <w:rsid w:val="38863A9D"/>
    <w:rsid w:val="38922512"/>
    <w:rsid w:val="389E1E57"/>
    <w:rsid w:val="38D46FA8"/>
    <w:rsid w:val="38FA74E7"/>
    <w:rsid w:val="39075230"/>
    <w:rsid w:val="395A59C0"/>
    <w:rsid w:val="39641C24"/>
    <w:rsid w:val="39A81E54"/>
    <w:rsid w:val="39FA6443"/>
    <w:rsid w:val="3AC96E36"/>
    <w:rsid w:val="3AE3010D"/>
    <w:rsid w:val="3B062BFE"/>
    <w:rsid w:val="3B6C5A20"/>
    <w:rsid w:val="3BD62F3C"/>
    <w:rsid w:val="3C893813"/>
    <w:rsid w:val="3C9F1CFE"/>
    <w:rsid w:val="3D1A2CB3"/>
    <w:rsid w:val="3D1E1105"/>
    <w:rsid w:val="3D301462"/>
    <w:rsid w:val="3DAC57C2"/>
    <w:rsid w:val="3DE36168"/>
    <w:rsid w:val="3DF34E5E"/>
    <w:rsid w:val="3E710F07"/>
    <w:rsid w:val="3EEE05BF"/>
    <w:rsid w:val="3F34304D"/>
    <w:rsid w:val="3F73120E"/>
    <w:rsid w:val="3FC26011"/>
    <w:rsid w:val="401C7A2F"/>
    <w:rsid w:val="409E078F"/>
    <w:rsid w:val="40A84E4B"/>
    <w:rsid w:val="40D814F2"/>
    <w:rsid w:val="41190453"/>
    <w:rsid w:val="41C42873"/>
    <w:rsid w:val="41C77610"/>
    <w:rsid w:val="41FD7F02"/>
    <w:rsid w:val="4227381A"/>
    <w:rsid w:val="423F16E7"/>
    <w:rsid w:val="425C7BCE"/>
    <w:rsid w:val="42D177B1"/>
    <w:rsid w:val="430D1734"/>
    <w:rsid w:val="430D6E22"/>
    <w:rsid w:val="435C5427"/>
    <w:rsid w:val="43A508BD"/>
    <w:rsid w:val="43E57DA8"/>
    <w:rsid w:val="44671500"/>
    <w:rsid w:val="44A42997"/>
    <w:rsid w:val="44B87A82"/>
    <w:rsid w:val="44BE04E3"/>
    <w:rsid w:val="44C316F3"/>
    <w:rsid w:val="44D95022"/>
    <w:rsid w:val="459B5A31"/>
    <w:rsid w:val="45A714DA"/>
    <w:rsid w:val="45FA1102"/>
    <w:rsid w:val="46246AE6"/>
    <w:rsid w:val="4627493C"/>
    <w:rsid w:val="466D482D"/>
    <w:rsid w:val="46BE6921"/>
    <w:rsid w:val="472A6AF9"/>
    <w:rsid w:val="4787697F"/>
    <w:rsid w:val="47925FD7"/>
    <w:rsid w:val="48830343"/>
    <w:rsid w:val="48B03A38"/>
    <w:rsid w:val="49507116"/>
    <w:rsid w:val="4968523E"/>
    <w:rsid w:val="498F4012"/>
    <w:rsid w:val="49915473"/>
    <w:rsid w:val="49AF54F7"/>
    <w:rsid w:val="4A2D1BBF"/>
    <w:rsid w:val="4A4D4CED"/>
    <w:rsid w:val="4ACA1C83"/>
    <w:rsid w:val="4B1969A7"/>
    <w:rsid w:val="4B4E4C67"/>
    <w:rsid w:val="4B8869E6"/>
    <w:rsid w:val="4BA14DA0"/>
    <w:rsid w:val="4BE00033"/>
    <w:rsid w:val="4C696C88"/>
    <w:rsid w:val="4CA948BD"/>
    <w:rsid w:val="4CD8446A"/>
    <w:rsid w:val="4CE9459A"/>
    <w:rsid w:val="4D310FC1"/>
    <w:rsid w:val="4D5F059D"/>
    <w:rsid w:val="4D6C1C4E"/>
    <w:rsid w:val="4DAB2EEF"/>
    <w:rsid w:val="4DB33945"/>
    <w:rsid w:val="4DB36092"/>
    <w:rsid w:val="4DC96D0F"/>
    <w:rsid w:val="4DFD70AF"/>
    <w:rsid w:val="4E3F76E8"/>
    <w:rsid w:val="4E4061F9"/>
    <w:rsid w:val="4EA04E87"/>
    <w:rsid w:val="4EA6656B"/>
    <w:rsid w:val="4EAD7AD0"/>
    <w:rsid w:val="4EF372B4"/>
    <w:rsid w:val="4F00613C"/>
    <w:rsid w:val="4F151C88"/>
    <w:rsid w:val="4F19325E"/>
    <w:rsid w:val="4F464958"/>
    <w:rsid w:val="4F4C1425"/>
    <w:rsid w:val="4F725E93"/>
    <w:rsid w:val="4F7F3A04"/>
    <w:rsid w:val="50092CB5"/>
    <w:rsid w:val="50975D8C"/>
    <w:rsid w:val="50C573D0"/>
    <w:rsid w:val="50DD35DA"/>
    <w:rsid w:val="50F42EAB"/>
    <w:rsid w:val="51072CDC"/>
    <w:rsid w:val="511E62BD"/>
    <w:rsid w:val="51225BF4"/>
    <w:rsid w:val="51307DCF"/>
    <w:rsid w:val="51CA38F2"/>
    <w:rsid w:val="51E779D5"/>
    <w:rsid w:val="52107C46"/>
    <w:rsid w:val="52756F46"/>
    <w:rsid w:val="527C643D"/>
    <w:rsid w:val="52B116F9"/>
    <w:rsid w:val="52E61A2B"/>
    <w:rsid w:val="52F73C18"/>
    <w:rsid w:val="533879A0"/>
    <w:rsid w:val="5358730F"/>
    <w:rsid w:val="53921D64"/>
    <w:rsid w:val="53AA6723"/>
    <w:rsid w:val="53AA7691"/>
    <w:rsid w:val="54095DC5"/>
    <w:rsid w:val="54137974"/>
    <w:rsid w:val="548F0FC5"/>
    <w:rsid w:val="549C6E01"/>
    <w:rsid w:val="54E0338A"/>
    <w:rsid w:val="56047C58"/>
    <w:rsid w:val="56275564"/>
    <w:rsid w:val="56280DAE"/>
    <w:rsid w:val="564B5191"/>
    <w:rsid w:val="565930E3"/>
    <w:rsid w:val="56961A81"/>
    <w:rsid w:val="56F413BA"/>
    <w:rsid w:val="56F60010"/>
    <w:rsid w:val="570C70FD"/>
    <w:rsid w:val="57491F2C"/>
    <w:rsid w:val="579F1BFF"/>
    <w:rsid w:val="57EF1A0C"/>
    <w:rsid w:val="58332154"/>
    <w:rsid w:val="587C037F"/>
    <w:rsid w:val="58DE795E"/>
    <w:rsid w:val="58E64340"/>
    <w:rsid w:val="590666F5"/>
    <w:rsid w:val="592E12E5"/>
    <w:rsid w:val="59336B2F"/>
    <w:rsid w:val="59477874"/>
    <w:rsid w:val="595E531C"/>
    <w:rsid w:val="59BB0188"/>
    <w:rsid w:val="5A28724A"/>
    <w:rsid w:val="5A766FD9"/>
    <w:rsid w:val="5AF46888"/>
    <w:rsid w:val="5B3C3815"/>
    <w:rsid w:val="5B9F21F6"/>
    <w:rsid w:val="5BD05616"/>
    <w:rsid w:val="5BEA7084"/>
    <w:rsid w:val="5C1A4728"/>
    <w:rsid w:val="5C263A6A"/>
    <w:rsid w:val="5C583D45"/>
    <w:rsid w:val="5C9A514C"/>
    <w:rsid w:val="5CAE3A25"/>
    <w:rsid w:val="5D624F7D"/>
    <w:rsid w:val="5D6C5AB5"/>
    <w:rsid w:val="5D8C7754"/>
    <w:rsid w:val="5DBF2537"/>
    <w:rsid w:val="5DEB518D"/>
    <w:rsid w:val="5E2507B1"/>
    <w:rsid w:val="5E372974"/>
    <w:rsid w:val="5E5F5694"/>
    <w:rsid w:val="5E8F7228"/>
    <w:rsid w:val="5F2818B0"/>
    <w:rsid w:val="5F7F4F05"/>
    <w:rsid w:val="5FA32AB5"/>
    <w:rsid w:val="5FB1516C"/>
    <w:rsid w:val="5FF350A4"/>
    <w:rsid w:val="5FF407FD"/>
    <w:rsid w:val="601E334B"/>
    <w:rsid w:val="60667E74"/>
    <w:rsid w:val="60C83AAE"/>
    <w:rsid w:val="60E543FD"/>
    <w:rsid w:val="6140691D"/>
    <w:rsid w:val="61D30B16"/>
    <w:rsid w:val="62743A52"/>
    <w:rsid w:val="628E42AC"/>
    <w:rsid w:val="633809C5"/>
    <w:rsid w:val="636D6FCE"/>
    <w:rsid w:val="63864DAC"/>
    <w:rsid w:val="63FF2E88"/>
    <w:rsid w:val="64063AED"/>
    <w:rsid w:val="64170E27"/>
    <w:rsid w:val="646E0E7C"/>
    <w:rsid w:val="64AD56CA"/>
    <w:rsid w:val="651F1699"/>
    <w:rsid w:val="65F808D2"/>
    <w:rsid w:val="663B25C8"/>
    <w:rsid w:val="663B4E60"/>
    <w:rsid w:val="66480E3D"/>
    <w:rsid w:val="66641F91"/>
    <w:rsid w:val="66962F96"/>
    <w:rsid w:val="669E7813"/>
    <w:rsid w:val="675B710F"/>
    <w:rsid w:val="67C60A39"/>
    <w:rsid w:val="67E000EE"/>
    <w:rsid w:val="67FB48B6"/>
    <w:rsid w:val="68B53FBB"/>
    <w:rsid w:val="68EB0293"/>
    <w:rsid w:val="690670FB"/>
    <w:rsid w:val="690B20F1"/>
    <w:rsid w:val="69435E15"/>
    <w:rsid w:val="695A036D"/>
    <w:rsid w:val="696F465F"/>
    <w:rsid w:val="69C73CE4"/>
    <w:rsid w:val="6A046BA6"/>
    <w:rsid w:val="6A134919"/>
    <w:rsid w:val="6A720CDC"/>
    <w:rsid w:val="6B3A0959"/>
    <w:rsid w:val="6B7C75AC"/>
    <w:rsid w:val="6C4701E0"/>
    <w:rsid w:val="6C4C3E15"/>
    <w:rsid w:val="6C7421DA"/>
    <w:rsid w:val="6C951B13"/>
    <w:rsid w:val="6CCA74B2"/>
    <w:rsid w:val="6CDE36AD"/>
    <w:rsid w:val="6D5624AB"/>
    <w:rsid w:val="6D7806C0"/>
    <w:rsid w:val="6DBE65D8"/>
    <w:rsid w:val="6E1624CE"/>
    <w:rsid w:val="6EB07B77"/>
    <w:rsid w:val="6ED22E76"/>
    <w:rsid w:val="6EED1305"/>
    <w:rsid w:val="6EFA2466"/>
    <w:rsid w:val="6F1451A0"/>
    <w:rsid w:val="6F896D52"/>
    <w:rsid w:val="6F9A2BB6"/>
    <w:rsid w:val="6FA670B9"/>
    <w:rsid w:val="6FC665FA"/>
    <w:rsid w:val="70205EFC"/>
    <w:rsid w:val="70254533"/>
    <w:rsid w:val="702E23C7"/>
    <w:rsid w:val="7083674F"/>
    <w:rsid w:val="71034ABD"/>
    <w:rsid w:val="718378FA"/>
    <w:rsid w:val="71992603"/>
    <w:rsid w:val="72365C5C"/>
    <w:rsid w:val="723A1EDF"/>
    <w:rsid w:val="724D46B1"/>
    <w:rsid w:val="72574903"/>
    <w:rsid w:val="72BE22EB"/>
    <w:rsid w:val="73706AA7"/>
    <w:rsid w:val="73AD0419"/>
    <w:rsid w:val="73B7070B"/>
    <w:rsid w:val="73E36FC3"/>
    <w:rsid w:val="740D5282"/>
    <w:rsid w:val="74D52114"/>
    <w:rsid w:val="752012AC"/>
    <w:rsid w:val="75226F74"/>
    <w:rsid w:val="75576553"/>
    <w:rsid w:val="759D2085"/>
    <w:rsid w:val="75B45593"/>
    <w:rsid w:val="761E374D"/>
    <w:rsid w:val="762202E8"/>
    <w:rsid w:val="76FA787F"/>
    <w:rsid w:val="77046DA9"/>
    <w:rsid w:val="773D5796"/>
    <w:rsid w:val="774A45F3"/>
    <w:rsid w:val="7775114A"/>
    <w:rsid w:val="77A12BC8"/>
    <w:rsid w:val="77ED2367"/>
    <w:rsid w:val="77FD227E"/>
    <w:rsid w:val="780A51FA"/>
    <w:rsid w:val="785E6ED2"/>
    <w:rsid w:val="787769AD"/>
    <w:rsid w:val="788E7D0B"/>
    <w:rsid w:val="78A10232"/>
    <w:rsid w:val="78B62D9C"/>
    <w:rsid w:val="78B750DE"/>
    <w:rsid w:val="78C450DC"/>
    <w:rsid w:val="78E4127C"/>
    <w:rsid w:val="79091FB9"/>
    <w:rsid w:val="79244829"/>
    <w:rsid w:val="794A2DA5"/>
    <w:rsid w:val="79501136"/>
    <w:rsid w:val="796D2225"/>
    <w:rsid w:val="799F2C77"/>
    <w:rsid w:val="79D21166"/>
    <w:rsid w:val="79F71F4C"/>
    <w:rsid w:val="7A5763EB"/>
    <w:rsid w:val="7A682162"/>
    <w:rsid w:val="7A6A4E0E"/>
    <w:rsid w:val="7A6E05CC"/>
    <w:rsid w:val="7A83701B"/>
    <w:rsid w:val="7AA275DE"/>
    <w:rsid w:val="7AC26FF5"/>
    <w:rsid w:val="7ACC3F83"/>
    <w:rsid w:val="7B5E7FC7"/>
    <w:rsid w:val="7B6D11B3"/>
    <w:rsid w:val="7BBA4E09"/>
    <w:rsid w:val="7BCD44B6"/>
    <w:rsid w:val="7BD52984"/>
    <w:rsid w:val="7C1B29FD"/>
    <w:rsid w:val="7C3462CE"/>
    <w:rsid w:val="7C5D3BC6"/>
    <w:rsid w:val="7CCF58E8"/>
    <w:rsid w:val="7D571299"/>
    <w:rsid w:val="7D7F05CB"/>
    <w:rsid w:val="7D896764"/>
    <w:rsid w:val="7D934435"/>
    <w:rsid w:val="7D9E786F"/>
    <w:rsid w:val="7DBD4D8A"/>
    <w:rsid w:val="7DFB0EFD"/>
    <w:rsid w:val="7E3F1CB5"/>
    <w:rsid w:val="7E782CBB"/>
    <w:rsid w:val="7E783BB7"/>
    <w:rsid w:val="7EE73E2A"/>
    <w:rsid w:val="7F0E6AB4"/>
    <w:rsid w:val="7F0F028A"/>
    <w:rsid w:val="7F5E6C07"/>
    <w:rsid w:val="7F765B92"/>
    <w:rsid w:val="7F905549"/>
    <w:rsid w:val="7F9B15A4"/>
    <w:rsid w:val="7FBE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paragraph" w:styleId="5">
    <w:name w:val="heading 1"/>
    <w:basedOn w:val="1"/>
    <w:next w:val="1"/>
    <w:link w:val="208"/>
    <w:qFormat/>
    <w:uiPriority w:val="0"/>
    <w:pPr>
      <w:keepNext/>
      <w:keepLines/>
      <w:spacing w:before="340" w:after="330" w:line="576" w:lineRule="auto"/>
      <w:outlineLvl w:val="0"/>
    </w:pPr>
    <w:rPr>
      <w:b/>
      <w:kern w:val="44"/>
      <w:sz w:val="44"/>
    </w:rPr>
  </w:style>
  <w:style w:type="paragraph" w:styleId="6">
    <w:name w:val="heading 2"/>
    <w:basedOn w:val="1"/>
    <w:next w:val="7"/>
    <w:link w:val="215"/>
    <w:qFormat/>
    <w:uiPriority w:val="0"/>
    <w:pPr>
      <w:keepNext/>
      <w:keepLines/>
      <w:adjustRightInd w:val="0"/>
      <w:snapToGrid w:val="0"/>
      <w:spacing w:line="360" w:lineRule="auto"/>
      <w:jc w:val="center"/>
      <w:outlineLvl w:val="1"/>
    </w:pPr>
    <w:rPr>
      <w:rFonts w:ascii="宋体" w:hAnsi="Arial"/>
      <w:sz w:val="32"/>
    </w:rPr>
  </w:style>
  <w:style w:type="paragraph" w:styleId="8">
    <w:name w:val="heading 3"/>
    <w:basedOn w:val="1"/>
    <w:next w:val="7"/>
    <w:link w:val="214"/>
    <w:qFormat/>
    <w:uiPriority w:val="0"/>
    <w:pPr>
      <w:widowControl w:val="0"/>
      <w:tabs>
        <w:tab w:val="left" w:pos="851"/>
      </w:tabs>
      <w:autoSpaceDE w:val="0"/>
      <w:autoSpaceDN w:val="0"/>
      <w:adjustRightInd w:val="0"/>
      <w:snapToGrid w:val="0"/>
      <w:spacing w:line="360" w:lineRule="auto"/>
      <w:jc w:val="both"/>
      <w:outlineLvl w:val="2"/>
    </w:pPr>
    <w:rPr>
      <w:rFonts w:ascii="宋体"/>
    </w:rPr>
  </w:style>
  <w:style w:type="paragraph" w:styleId="9">
    <w:name w:val="heading 4"/>
    <w:basedOn w:val="1"/>
    <w:next w:val="7"/>
    <w:link w:val="183"/>
    <w:qFormat/>
    <w:uiPriority w:val="0"/>
    <w:pPr>
      <w:widowControl w:val="0"/>
      <w:autoSpaceDE w:val="0"/>
      <w:autoSpaceDN w:val="0"/>
      <w:adjustRightInd w:val="0"/>
      <w:snapToGrid w:val="0"/>
      <w:spacing w:line="360" w:lineRule="auto"/>
      <w:jc w:val="both"/>
      <w:outlineLvl w:val="3"/>
    </w:pPr>
    <w:rPr>
      <w:rFonts w:ascii="宋体" w:hAnsi="Arial"/>
      <w:color w:val="000000"/>
    </w:rPr>
  </w:style>
  <w:style w:type="paragraph" w:styleId="10">
    <w:name w:val="heading 5"/>
    <w:basedOn w:val="1"/>
    <w:next w:val="7"/>
    <w:link w:val="185"/>
    <w:qFormat/>
    <w:uiPriority w:val="0"/>
    <w:pPr>
      <w:keepNext/>
      <w:widowControl w:val="0"/>
      <w:autoSpaceDE w:val="0"/>
      <w:autoSpaceDN w:val="0"/>
      <w:adjustRightInd w:val="0"/>
      <w:snapToGrid w:val="0"/>
      <w:spacing w:before="280" w:after="290" w:line="374" w:lineRule="auto"/>
      <w:jc w:val="both"/>
      <w:outlineLvl w:val="4"/>
    </w:pPr>
    <w:rPr>
      <w:rFonts w:ascii="宋体"/>
      <w:b/>
      <w:color w:val="000000"/>
      <w:sz w:val="28"/>
    </w:rPr>
  </w:style>
  <w:style w:type="paragraph" w:styleId="11">
    <w:name w:val="heading 6"/>
    <w:basedOn w:val="1"/>
    <w:next w:val="7"/>
    <w:link w:val="200"/>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12">
    <w:name w:val="heading 7"/>
    <w:basedOn w:val="1"/>
    <w:next w:val="7"/>
    <w:link w:val="175"/>
    <w:qFormat/>
    <w:uiPriority w:val="0"/>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3">
    <w:name w:val="heading 8"/>
    <w:basedOn w:val="1"/>
    <w:next w:val="7"/>
    <w:link w:val="170"/>
    <w:qFormat/>
    <w:uiPriority w:val="0"/>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4">
    <w:name w:val="heading 9"/>
    <w:basedOn w:val="1"/>
    <w:next w:val="7"/>
    <w:link w:val="186"/>
    <w:qFormat/>
    <w:uiPriority w:val="0"/>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630"/>
      </w:tabs>
      <w:ind w:firstLine="420"/>
    </w:pPr>
    <w:rPr>
      <w:rFonts w:ascii="Verdana" w:hAnsi="Verdana"/>
      <w:szCs w:val="24"/>
    </w:rPr>
  </w:style>
  <w:style w:type="paragraph" w:styleId="3">
    <w:name w:val="Body Text Indent"/>
    <w:basedOn w:val="1"/>
    <w:next w:val="4"/>
    <w:link w:val="167"/>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7">
    <w:name w:val="Normal Indent"/>
    <w:basedOn w:val="1"/>
    <w:link w:val="163"/>
    <w:qFormat/>
    <w:uiPriority w:val="0"/>
    <w:pPr>
      <w:ind w:firstLine="420"/>
    </w:pPr>
  </w:style>
  <w:style w:type="paragraph" w:styleId="15">
    <w:name w:val="toc 7"/>
    <w:basedOn w:val="1"/>
    <w:next w:val="1"/>
    <w:unhideWhenUsed/>
    <w:qFormat/>
    <w:uiPriority w:val="39"/>
    <w:pPr>
      <w:widowControl w:val="0"/>
      <w:ind w:left="2520" w:leftChars="1200"/>
      <w:jc w:val="both"/>
    </w:pPr>
    <w:rPr>
      <w:rFonts w:ascii="Calibri" w:hAnsi="Calibri"/>
      <w:kern w:val="2"/>
      <w:szCs w:val="22"/>
    </w:rPr>
  </w:style>
  <w:style w:type="paragraph" w:styleId="16">
    <w:name w:val="caption"/>
    <w:basedOn w:val="1"/>
    <w:next w:val="1"/>
    <w:qFormat/>
    <w:uiPriority w:val="0"/>
    <w:rPr>
      <w:rFonts w:ascii="Cambria" w:hAnsi="Cambria" w:eastAsia="黑体"/>
      <w:sz w:val="20"/>
    </w:rPr>
  </w:style>
  <w:style w:type="paragraph" w:styleId="17">
    <w:name w:val="Document Map"/>
    <w:basedOn w:val="1"/>
    <w:link w:val="188"/>
    <w:qFormat/>
    <w:uiPriority w:val="0"/>
    <w:pPr>
      <w:widowControl w:val="0"/>
      <w:shd w:val="clear" w:color="auto" w:fill="000080"/>
      <w:jc w:val="both"/>
    </w:pPr>
    <w:rPr>
      <w:kern w:val="2"/>
    </w:rPr>
  </w:style>
  <w:style w:type="paragraph" w:styleId="18">
    <w:name w:val="annotation text"/>
    <w:basedOn w:val="1"/>
    <w:link w:val="178"/>
    <w:qFormat/>
    <w:uiPriority w:val="0"/>
  </w:style>
  <w:style w:type="paragraph" w:styleId="19">
    <w:name w:val="Body Text 3"/>
    <w:basedOn w:val="1"/>
    <w:link w:val="162"/>
    <w:qFormat/>
    <w:uiPriority w:val="0"/>
    <w:pPr>
      <w:spacing w:after="120"/>
    </w:pPr>
    <w:rPr>
      <w:sz w:val="16"/>
    </w:rPr>
  </w:style>
  <w:style w:type="paragraph" w:styleId="20">
    <w:name w:val="Closing"/>
    <w:basedOn w:val="1"/>
    <w:link w:val="201"/>
    <w:qFormat/>
    <w:uiPriority w:val="0"/>
    <w:pPr>
      <w:widowControl w:val="0"/>
      <w:ind w:left="100" w:leftChars="2100"/>
      <w:jc w:val="both"/>
    </w:pPr>
    <w:rPr>
      <w:rFonts w:ascii="宋体" w:hAnsi="宋体"/>
      <w:color w:val="000000"/>
      <w:kern w:val="2"/>
      <w:sz w:val="24"/>
    </w:rPr>
  </w:style>
  <w:style w:type="paragraph" w:styleId="21">
    <w:name w:val="Body Text"/>
    <w:basedOn w:val="1"/>
    <w:next w:val="3"/>
    <w:link w:val="198"/>
    <w:qFormat/>
    <w:uiPriority w:val="0"/>
    <w:pPr>
      <w:spacing w:after="120"/>
    </w:pPr>
  </w:style>
  <w:style w:type="paragraph" w:styleId="22">
    <w:name w:val="Block Text"/>
    <w:basedOn w:val="1"/>
    <w:qFormat/>
    <w:uiPriority w:val="0"/>
    <w:pPr>
      <w:widowControl w:val="0"/>
      <w:adjustRightInd w:val="0"/>
      <w:ind w:left="420" w:right="33"/>
      <w:textAlignment w:val="baseline"/>
    </w:pPr>
    <w:rPr>
      <w:sz w:val="24"/>
    </w:rPr>
  </w:style>
  <w:style w:type="paragraph" w:styleId="23">
    <w:name w:val="toc 5"/>
    <w:basedOn w:val="1"/>
    <w:next w:val="1"/>
    <w:unhideWhenUsed/>
    <w:qFormat/>
    <w:uiPriority w:val="39"/>
    <w:pPr>
      <w:widowControl w:val="0"/>
      <w:ind w:left="1680" w:leftChars="800"/>
      <w:jc w:val="both"/>
    </w:pPr>
    <w:rPr>
      <w:rFonts w:ascii="Calibri" w:hAnsi="Calibri"/>
      <w:kern w:val="2"/>
      <w:szCs w:val="22"/>
    </w:rPr>
  </w:style>
  <w:style w:type="paragraph" w:styleId="24">
    <w:name w:val="toc 3"/>
    <w:basedOn w:val="1"/>
    <w:next w:val="1"/>
    <w:qFormat/>
    <w:uiPriority w:val="39"/>
    <w:pPr>
      <w:ind w:left="840" w:leftChars="400"/>
    </w:pPr>
  </w:style>
  <w:style w:type="paragraph" w:styleId="25">
    <w:name w:val="Plain Text"/>
    <w:basedOn w:val="1"/>
    <w:next w:val="1"/>
    <w:link w:val="180"/>
    <w:qFormat/>
    <w:uiPriority w:val="0"/>
    <w:rPr>
      <w:rFonts w:ascii="宋体" w:hAnsi="Courier New"/>
    </w:rPr>
  </w:style>
  <w:style w:type="paragraph" w:styleId="26">
    <w:name w:val="toc 8"/>
    <w:basedOn w:val="1"/>
    <w:next w:val="1"/>
    <w:unhideWhenUsed/>
    <w:qFormat/>
    <w:uiPriority w:val="39"/>
    <w:pPr>
      <w:widowControl w:val="0"/>
      <w:ind w:left="2940" w:leftChars="1400"/>
      <w:jc w:val="both"/>
    </w:pPr>
    <w:rPr>
      <w:rFonts w:ascii="Calibri" w:hAnsi="Calibri"/>
      <w:kern w:val="2"/>
      <w:szCs w:val="22"/>
    </w:rPr>
  </w:style>
  <w:style w:type="paragraph" w:styleId="27">
    <w:name w:val="Date"/>
    <w:basedOn w:val="1"/>
    <w:next w:val="1"/>
    <w:link w:val="179"/>
    <w:qFormat/>
    <w:uiPriority w:val="0"/>
    <w:pPr>
      <w:widowControl w:val="0"/>
      <w:jc w:val="both"/>
    </w:pPr>
    <w:rPr>
      <w:rFonts w:ascii="楷体_GB2312" w:eastAsia="楷体_GB2312"/>
      <w:kern w:val="2"/>
      <w:sz w:val="28"/>
    </w:rPr>
  </w:style>
  <w:style w:type="paragraph" w:styleId="28">
    <w:name w:val="Body Text Indent 2"/>
    <w:basedOn w:val="1"/>
    <w:link w:val="182"/>
    <w:qFormat/>
    <w:uiPriority w:val="0"/>
    <w:pPr>
      <w:spacing w:after="120" w:line="480" w:lineRule="auto"/>
      <w:ind w:left="420" w:leftChars="200"/>
    </w:pPr>
  </w:style>
  <w:style w:type="paragraph" w:styleId="29">
    <w:name w:val="endnote text"/>
    <w:basedOn w:val="1"/>
    <w:link w:val="166"/>
    <w:unhideWhenUsed/>
    <w:qFormat/>
    <w:uiPriority w:val="99"/>
    <w:pPr>
      <w:widowControl w:val="0"/>
      <w:snapToGrid w:val="0"/>
    </w:pPr>
    <w:rPr>
      <w:rFonts w:ascii="Calibri" w:hAnsi="Calibri"/>
      <w:kern w:val="2"/>
      <w:sz w:val="22"/>
    </w:rPr>
  </w:style>
  <w:style w:type="paragraph" w:styleId="30">
    <w:name w:val="Balloon Text"/>
    <w:basedOn w:val="1"/>
    <w:link w:val="174"/>
    <w:qFormat/>
    <w:uiPriority w:val="99"/>
    <w:rPr>
      <w:sz w:val="18"/>
    </w:rPr>
  </w:style>
  <w:style w:type="paragraph" w:styleId="31">
    <w:name w:val="footer"/>
    <w:basedOn w:val="1"/>
    <w:link w:val="194"/>
    <w:qFormat/>
    <w:uiPriority w:val="99"/>
    <w:pPr>
      <w:tabs>
        <w:tab w:val="center" w:pos="4153"/>
        <w:tab w:val="right" w:pos="8306"/>
      </w:tabs>
      <w:snapToGrid w:val="0"/>
    </w:pPr>
    <w:rPr>
      <w:sz w:val="18"/>
    </w:rPr>
  </w:style>
  <w:style w:type="paragraph" w:styleId="32">
    <w:name w:val="header"/>
    <w:basedOn w:val="1"/>
    <w:link w:val="205"/>
    <w:qFormat/>
    <w:uiPriority w:val="99"/>
    <w:pPr>
      <w:pBdr>
        <w:bottom w:val="single" w:color="auto" w:sz="6" w:space="1"/>
      </w:pBdr>
      <w:tabs>
        <w:tab w:val="center" w:pos="4153"/>
        <w:tab w:val="right" w:pos="8306"/>
      </w:tabs>
      <w:snapToGrid w:val="0"/>
      <w:jc w:val="center"/>
    </w:pPr>
    <w:rPr>
      <w:sz w:val="18"/>
    </w:rPr>
  </w:style>
  <w:style w:type="paragraph" w:styleId="33">
    <w:name w:val="toc 1"/>
    <w:basedOn w:val="1"/>
    <w:next w:val="1"/>
    <w:qFormat/>
    <w:uiPriority w:val="39"/>
    <w:pPr>
      <w:tabs>
        <w:tab w:val="right" w:leader="dot" w:pos="9402"/>
      </w:tabs>
      <w:spacing w:line="360" w:lineRule="auto"/>
      <w:ind w:left="824" w:hanging="824"/>
      <w:jc w:val="center"/>
    </w:pPr>
    <w:rPr>
      <w:rFonts w:ascii="宋体"/>
    </w:rPr>
  </w:style>
  <w:style w:type="paragraph" w:styleId="34">
    <w:name w:val="toc 4"/>
    <w:basedOn w:val="1"/>
    <w:next w:val="1"/>
    <w:unhideWhenUsed/>
    <w:qFormat/>
    <w:uiPriority w:val="39"/>
    <w:pPr>
      <w:widowControl w:val="0"/>
      <w:ind w:left="1260" w:leftChars="600"/>
      <w:jc w:val="both"/>
    </w:pPr>
    <w:rPr>
      <w:rFonts w:ascii="Calibri" w:hAnsi="Calibri"/>
      <w:kern w:val="2"/>
      <w:szCs w:val="22"/>
    </w:rPr>
  </w:style>
  <w:style w:type="paragraph" w:styleId="35">
    <w:name w:val="index heading"/>
    <w:basedOn w:val="1"/>
    <w:next w:val="36"/>
    <w:qFormat/>
    <w:uiPriority w:val="0"/>
    <w:pPr>
      <w:widowControl w:val="0"/>
      <w:jc w:val="both"/>
    </w:pPr>
    <w:rPr>
      <w:kern w:val="2"/>
    </w:rPr>
  </w:style>
  <w:style w:type="paragraph" w:styleId="36">
    <w:name w:val="index 1"/>
    <w:basedOn w:val="1"/>
    <w:next w:val="1"/>
    <w:unhideWhenUsed/>
    <w:qFormat/>
    <w:uiPriority w:val="0"/>
  </w:style>
  <w:style w:type="paragraph" w:styleId="37">
    <w:name w:val="toc 6"/>
    <w:basedOn w:val="1"/>
    <w:next w:val="1"/>
    <w:unhideWhenUsed/>
    <w:qFormat/>
    <w:uiPriority w:val="39"/>
    <w:pPr>
      <w:widowControl w:val="0"/>
      <w:ind w:left="2100" w:leftChars="1000"/>
      <w:jc w:val="both"/>
    </w:pPr>
    <w:rPr>
      <w:rFonts w:ascii="Calibri" w:hAnsi="Calibri"/>
      <w:kern w:val="2"/>
      <w:szCs w:val="22"/>
    </w:rPr>
  </w:style>
  <w:style w:type="paragraph" w:styleId="38">
    <w:name w:val="Body Text Indent 3"/>
    <w:basedOn w:val="1"/>
    <w:link w:val="191"/>
    <w:qFormat/>
    <w:uiPriority w:val="0"/>
    <w:pPr>
      <w:spacing w:after="120"/>
      <w:ind w:left="420" w:leftChars="200"/>
    </w:pPr>
    <w:rPr>
      <w:sz w:val="16"/>
    </w:rPr>
  </w:style>
  <w:style w:type="paragraph" w:styleId="39">
    <w:name w:val="toc 2"/>
    <w:basedOn w:val="1"/>
    <w:next w:val="1"/>
    <w:qFormat/>
    <w:uiPriority w:val="39"/>
    <w:pPr>
      <w:tabs>
        <w:tab w:val="right" w:leader="dot" w:pos="9402"/>
      </w:tabs>
      <w:spacing w:line="360" w:lineRule="auto"/>
      <w:ind w:left="993" w:leftChars="202" w:hanging="569" w:hangingChars="237"/>
    </w:pPr>
  </w:style>
  <w:style w:type="paragraph" w:styleId="40">
    <w:name w:val="toc 9"/>
    <w:basedOn w:val="1"/>
    <w:next w:val="1"/>
    <w:unhideWhenUsed/>
    <w:qFormat/>
    <w:uiPriority w:val="39"/>
    <w:pPr>
      <w:widowControl w:val="0"/>
      <w:ind w:left="3360" w:leftChars="1600"/>
      <w:jc w:val="both"/>
    </w:pPr>
    <w:rPr>
      <w:rFonts w:ascii="Calibri" w:hAnsi="Calibri"/>
      <w:kern w:val="2"/>
      <w:szCs w:val="22"/>
    </w:rPr>
  </w:style>
  <w:style w:type="paragraph" w:styleId="41">
    <w:name w:val="Body Text 2"/>
    <w:basedOn w:val="1"/>
    <w:link w:val="199"/>
    <w:qFormat/>
    <w:uiPriority w:val="0"/>
    <w:pPr>
      <w:spacing w:after="120" w:line="480" w:lineRule="auto"/>
    </w:pPr>
  </w:style>
  <w:style w:type="paragraph" w:styleId="4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3">
    <w:name w:val="HTML Preformatted"/>
    <w:basedOn w:val="1"/>
    <w:link w:val="168"/>
    <w:qFormat/>
    <w:uiPriority w:val="0"/>
    <w:rPr>
      <w:rFonts w:ascii="黑体" w:hAnsi="Courier New" w:eastAsia="黑体"/>
    </w:rPr>
  </w:style>
  <w:style w:type="paragraph" w:styleId="44">
    <w:name w:val="Normal (Web)"/>
    <w:basedOn w:val="1"/>
    <w:qFormat/>
    <w:uiPriority w:val="99"/>
    <w:pPr>
      <w:spacing w:before="100" w:beforeAutospacing="1" w:after="100" w:afterAutospacing="1"/>
    </w:pPr>
    <w:rPr>
      <w:rFonts w:ascii="宋体" w:hAnsi="宋体" w:cs="宋体"/>
      <w:sz w:val="24"/>
      <w:szCs w:val="24"/>
    </w:rPr>
  </w:style>
  <w:style w:type="paragraph" w:styleId="45">
    <w:name w:val="Title"/>
    <w:basedOn w:val="1"/>
    <w:link w:val="189"/>
    <w:qFormat/>
    <w:uiPriority w:val="0"/>
    <w:pPr>
      <w:widowControl w:val="0"/>
      <w:spacing w:before="240" w:after="60"/>
      <w:jc w:val="center"/>
      <w:outlineLvl w:val="0"/>
    </w:pPr>
    <w:rPr>
      <w:rFonts w:ascii="Arial" w:hAnsi="Arial"/>
      <w:b/>
      <w:bCs/>
      <w:kern w:val="2"/>
      <w:sz w:val="32"/>
      <w:szCs w:val="32"/>
    </w:rPr>
  </w:style>
  <w:style w:type="paragraph" w:styleId="46">
    <w:name w:val="annotation subject"/>
    <w:basedOn w:val="18"/>
    <w:next w:val="18"/>
    <w:link w:val="176"/>
    <w:qFormat/>
    <w:uiPriority w:val="99"/>
    <w:rPr>
      <w:b/>
    </w:rPr>
  </w:style>
  <w:style w:type="paragraph" w:styleId="47">
    <w:name w:val="Body Text First Indent"/>
    <w:basedOn w:val="21"/>
    <w:link w:val="154"/>
    <w:qFormat/>
    <w:uiPriority w:val="0"/>
    <w:pPr>
      <w:widowControl w:val="0"/>
      <w:ind w:firstLine="420" w:firstLineChars="100"/>
      <w:jc w:val="both"/>
    </w:pPr>
    <w:rPr>
      <w:kern w:val="2"/>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rPr>
  </w:style>
  <w:style w:type="character" w:styleId="52">
    <w:name w:val="endnote reference"/>
    <w:unhideWhenUsed/>
    <w:qFormat/>
    <w:uiPriority w:val="99"/>
    <w:rPr>
      <w:vertAlign w:val="superscript"/>
    </w:rPr>
  </w:style>
  <w:style w:type="character" w:styleId="53">
    <w:name w:val="page number"/>
    <w:basedOn w:val="50"/>
    <w:qFormat/>
    <w:uiPriority w:val="0"/>
    <w:rPr>
      <w:rFonts w:cs="Times New Roman"/>
    </w:rPr>
  </w:style>
  <w:style w:type="character" w:styleId="54">
    <w:name w:val="FollowedHyperlink"/>
    <w:qFormat/>
    <w:uiPriority w:val="99"/>
    <w:rPr>
      <w:color w:val="800080"/>
      <w:u w:val="single"/>
    </w:rPr>
  </w:style>
  <w:style w:type="character" w:styleId="55">
    <w:name w:val="Hyperlink"/>
    <w:qFormat/>
    <w:uiPriority w:val="99"/>
    <w:rPr>
      <w:color w:val="0000FF"/>
      <w:u w:val="single"/>
    </w:rPr>
  </w:style>
  <w:style w:type="character" w:styleId="56">
    <w:name w:val="annotation reference"/>
    <w:qFormat/>
    <w:uiPriority w:val="0"/>
    <w:rPr>
      <w:sz w:val="21"/>
    </w:rPr>
  </w:style>
  <w:style w:type="paragraph" w:customStyle="1" w:styleId="57">
    <w:name w:val="Normal Indent1"/>
    <w:basedOn w:val="1"/>
    <w:qFormat/>
    <w:uiPriority w:val="0"/>
    <w:pPr>
      <w:ind w:firstLine="420" w:firstLineChars="200"/>
    </w:pPr>
    <w:rPr>
      <w:sz w:val="33"/>
      <w:szCs w:val="33"/>
    </w:rPr>
  </w:style>
  <w:style w:type="paragraph" w:customStyle="1" w:styleId="58">
    <w:name w:val="_Style 3"/>
    <w:basedOn w:val="1"/>
    <w:next w:val="38"/>
    <w:qFormat/>
    <w:uiPriority w:val="0"/>
    <w:pPr>
      <w:widowControl w:val="0"/>
      <w:ind w:firstLine="420" w:firstLineChars="200"/>
      <w:jc w:val="both"/>
    </w:pPr>
    <w:rPr>
      <w:kern w:val="2"/>
      <w:sz w:val="20"/>
      <w:szCs w:val="24"/>
    </w:rPr>
  </w:style>
  <w:style w:type="paragraph" w:customStyle="1" w:styleId="59">
    <w:name w:val="Body Text 21"/>
    <w:basedOn w:val="1"/>
    <w:qFormat/>
    <w:uiPriority w:val="6"/>
    <w:pPr>
      <w:adjustRightInd w:val="0"/>
      <w:spacing w:line="240" w:lineRule="exact"/>
      <w:textAlignment w:val="baseline"/>
    </w:pPr>
    <w:rPr>
      <w:rFonts w:ascii="宋体" w:hAnsi="Times New Roman" w:eastAsia="宋体" w:cs="Times New Roman"/>
      <w:kern w:val="0"/>
      <w:sz w:val="18"/>
      <w:szCs w:val="20"/>
    </w:rPr>
  </w:style>
  <w:style w:type="paragraph" w:customStyle="1" w:styleId="60">
    <w:name w:val="表格文字"/>
    <w:basedOn w:val="1"/>
    <w:qFormat/>
    <w:uiPriority w:val="0"/>
    <w:pPr>
      <w:widowControl w:val="0"/>
      <w:spacing w:before="25" w:after="25"/>
    </w:pPr>
    <w:rPr>
      <w:bCs/>
      <w:spacing w:val="10"/>
      <w:sz w:val="24"/>
    </w:rPr>
  </w:style>
  <w:style w:type="paragraph" w:customStyle="1" w:styleId="61">
    <w:name w:val="列出段落1"/>
    <w:basedOn w:val="1"/>
    <w:link w:val="161"/>
    <w:qFormat/>
    <w:uiPriority w:val="0"/>
    <w:pPr>
      <w:ind w:firstLine="420" w:firstLineChars="200"/>
    </w:pPr>
    <w:rPr>
      <w:rFonts w:ascii="宋体"/>
      <w:sz w:val="24"/>
    </w:rPr>
  </w:style>
  <w:style w:type="paragraph" w:customStyle="1" w:styleId="62">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font0"/>
    <w:basedOn w:val="1"/>
    <w:qFormat/>
    <w:uiPriority w:val="0"/>
    <w:pPr>
      <w:spacing w:before="100" w:beforeAutospacing="1" w:after="100" w:afterAutospacing="1"/>
    </w:pPr>
    <w:rPr>
      <w:rFonts w:ascii="宋体" w:hAnsi="宋体" w:cs="宋体"/>
      <w:sz w:val="24"/>
      <w:szCs w:val="24"/>
    </w:rPr>
  </w:style>
  <w:style w:type="paragraph" w:customStyle="1" w:styleId="64">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65">
    <w:name w:val="题注5"/>
    <w:basedOn w:val="1"/>
    <w:next w:val="16"/>
    <w:qFormat/>
    <w:uiPriority w:val="0"/>
    <w:pPr>
      <w:widowControl w:val="0"/>
      <w:jc w:val="center"/>
    </w:pPr>
    <w:rPr>
      <w:b/>
      <w:color w:val="000000"/>
      <w:kern w:val="2"/>
      <w:sz w:val="24"/>
      <w:szCs w:val="21"/>
    </w:rPr>
  </w:style>
  <w:style w:type="paragraph" w:customStyle="1" w:styleId="66">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67">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68">
    <w:name w:val="135"/>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69">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70">
    <w:name w:val="Preformatted"/>
    <w:basedOn w:val="1"/>
    <w:qFormat/>
    <w:uiPriority w:val="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71">
    <w:name w:val="f12"/>
    <w:basedOn w:val="1"/>
    <w:qFormat/>
    <w:uiPriority w:val="0"/>
    <w:pPr>
      <w:spacing w:before="100" w:beforeAutospacing="1" w:after="100" w:afterAutospacing="1"/>
    </w:pPr>
    <w:rPr>
      <w:rFonts w:ascii="_GB2312" w:hAnsi="_GB2312"/>
      <w:color w:val="000000"/>
      <w:szCs w:val="21"/>
    </w:rPr>
  </w:style>
  <w:style w:type="paragraph" w:customStyle="1" w:styleId="72">
    <w:name w:val="blacklk"/>
    <w:basedOn w:val="1"/>
    <w:qFormat/>
    <w:uiPriority w:val="0"/>
    <w:pPr>
      <w:spacing w:before="100" w:beforeAutospacing="1" w:after="100" w:afterAutospacing="1"/>
    </w:pPr>
    <w:rPr>
      <w:rFonts w:ascii="宋体" w:hAnsi="宋体" w:cs="宋体"/>
      <w:sz w:val="24"/>
      <w:szCs w:val="24"/>
    </w:rPr>
  </w:style>
  <w:style w:type="paragraph" w:customStyle="1" w:styleId="73">
    <w:name w:val="f12pt1"/>
    <w:basedOn w:val="1"/>
    <w:qFormat/>
    <w:uiPriority w:val="0"/>
    <w:pPr>
      <w:spacing w:before="100" w:beforeAutospacing="1" w:after="100" w:afterAutospacing="1"/>
    </w:pPr>
    <w:rPr>
      <w:rFonts w:ascii="_GB2312" w:hAnsi="_GB2312"/>
      <w:color w:val="000000"/>
      <w:szCs w:val="21"/>
    </w:rPr>
  </w:style>
  <w:style w:type="paragraph" w:customStyle="1" w:styleId="74">
    <w:name w:val="_Style 65"/>
    <w:basedOn w:val="5"/>
    <w:next w:val="1"/>
    <w:qFormat/>
    <w:uiPriority w:val="39"/>
    <w:pPr>
      <w:spacing w:before="480" w:after="0" w:line="276" w:lineRule="auto"/>
      <w:outlineLvl w:val="9"/>
    </w:pPr>
    <w:rPr>
      <w:rFonts w:ascii="Cambria" w:hAnsi="Cambria"/>
      <w:color w:val="365F91"/>
      <w:kern w:val="0"/>
      <w:sz w:val="28"/>
      <w:szCs w:val="28"/>
    </w:rPr>
  </w:style>
  <w:style w:type="paragraph" w:customStyle="1" w:styleId="75">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styleId="76">
    <w:name w:val="List Paragraph"/>
    <w:basedOn w:val="1"/>
    <w:qFormat/>
    <w:uiPriority w:val="34"/>
    <w:pPr>
      <w:widowControl w:val="0"/>
      <w:ind w:firstLine="420" w:firstLineChars="200"/>
      <w:jc w:val="both"/>
    </w:pPr>
    <w:rPr>
      <w:rFonts w:ascii="Calibri" w:hAnsi="Calibri"/>
      <w:kern w:val="2"/>
      <w:szCs w:val="22"/>
    </w:rPr>
  </w:style>
  <w:style w:type="paragraph" w:customStyle="1" w:styleId="77">
    <w:name w:val="font6"/>
    <w:basedOn w:val="1"/>
    <w:qFormat/>
    <w:uiPriority w:val="0"/>
    <w:pPr>
      <w:spacing w:before="100" w:beforeAutospacing="1" w:after="100" w:afterAutospacing="1"/>
    </w:pPr>
    <w:rPr>
      <w:sz w:val="24"/>
      <w:szCs w:val="24"/>
    </w:rPr>
  </w:style>
  <w:style w:type="paragraph" w:customStyle="1" w:styleId="78">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79">
    <w:name w:val="c03"/>
    <w:basedOn w:val="1"/>
    <w:qFormat/>
    <w:uiPriority w:val="0"/>
    <w:pPr>
      <w:spacing w:before="100" w:beforeAutospacing="1" w:after="100" w:afterAutospacing="1"/>
    </w:pPr>
    <w:rPr>
      <w:rFonts w:ascii="宋体" w:hAnsi="宋体"/>
      <w:color w:val="000000"/>
      <w:sz w:val="24"/>
      <w:szCs w:val="24"/>
    </w:rPr>
  </w:style>
  <w:style w:type="paragraph" w:customStyle="1" w:styleId="80">
    <w:name w:val="p0"/>
    <w:basedOn w:val="1"/>
    <w:qFormat/>
    <w:uiPriority w:val="0"/>
    <w:pPr>
      <w:jc w:val="both"/>
    </w:pPr>
    <w:rPr>
      <w:szCs w:val="21"/>
    </w:rPr>
  </w:style>
  <w:style w:type="paragraph" w:customStyle="1" w:styleId="81">
    <w:name w:val="xl25"/>
    <w:basedOn w:val="1"/>
    <w:qFormat/>
    <w:uiPriority w:val="0"/>
    <w:pPr>
      <w:spacing w:before="100" w:beforeAutospacing="1" w:after="100" w:afterAutospacing="1"/>
      <w:jc w:val="right"/>
    </w:pPr>
    <w:rPr>
      <w:sz w:val="24"/>
      <w:szCs w:val="24"/>
    </w:rPr>
  </w:style>
  <w:style w:type="paragraph" w:customStyle="1" w:styleId="82">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83">
    <w:name w:val="标题四"/>
    <w:basedOn w:val="1"/>
    <w:qFormat/>
    <w:uiPriority w:val="0"/>
    <w:pPr>
      <w:widowControl w:val="0"/>
      <w:tabs>
        <w:tab w:val="left" w:pos="425"/>
      </w:tabs>
      <w:adjustRightInd w:val="0"/>
      <w:spacing w:beforeLines="50" w:afterLines="50"/>
      <w:jc w:val="both"/>
    </w:pPr>
    <w:rPr>
      <w:rFonts w:ascii="Arial" w:hAnsi="Arial"/>
      <w:b/>
      <w:bCs/>
      <w:sz w:val="24"/>
      <w:szCs w:val="24"/>
    </w:rPr>
  </w:style>
  <w:style w:type="paragraph" w:customStyle="1" w:styleId="8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85">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86">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87">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88">
    <w:name w:val="表头"/>
    <w:basedOn w:val="16"/>
    <w:qFormat/>
    <w:uiPriority w:val="0"/>
    <w:pPr>
      <w:keepNext/>
      <w:keepLines/>
      <w:spacing w:before="120" w:after="120" w:line="300" w:lineRule="auto"/>
      <w:jc w:val="center"/>
      <w:textAlignment w:val="baseline"/>
    </w:pPr>
    <w:rPr>
      <w:rFonts w:ascii="Arial" w:hAnsi="Arial"/>
      <w:sz w:val="21"/>
    </w:rPr>
  </w:style>
  <w:style w:type="paragraph" w:customStyle="1" w:styleId="8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91">
    <w:name w:val="样式1"/>
    <w:basedOn w:val="6"/>
    <w:qFormat/>
    <w:uiPriority w:val="0"/>
    <w:pPr>
      <w:tabs>
        <w:tab w:val="left" w:pos="420"/>
      </w:tabs>
      <w:ind w:left="420" w:hanging="420"/>
    </w:pPr>
    <w:rPr>
      <w:b/>
    </w:rPr>
  </w:style>
  <w:style w:type="paragraph" w:customStyle="1" w:styleId="92">
    <w:name w:val="Char Char Char Char Char Char1 Char Char Char Char"/>
    <w:basedOn w:val="1"/>
    <w:qFormat/>
    <w:uiPriority w:val="0"/>
    <w:pPr>
      <w:tabs>
        <w:tab w:val="left" w:pos="360"/>
      </w:tabs>
      <w:spacing w:after="160" w:line="240" w:lineRule="exact"/>
    </w:pPr>
    <w:rPr>
      <w:kern w:val="2"/>
      <w:sz w:val="24"/>
      <w:szCs w:val="24"/>
    </w:rPr>
  </w:style>
  <w:style w:type="paragraph" w:customStyle="1" w:styleId="93">
    <w:name w:val="表格内容"/>
    <w:basedOn w:val="1"/>
    <w:qFormat/>
    <w:uiPriority w:val="0"/>
    <w:pPr>
      <w:widowControl w:val="0"/>
      <w:suppressLineNumbers/>
      <w:suppressAutoHyphens/>
      <w:jc w:val="both"/>
    </w:pPr>
    <w:rPr>
      <w:kern w:val="1"/>
      <w:szCs w:val="24"/>
      <w:lang w:eastAsia="ar-SA"/>
    </w:rPr>
  </w:style>
  <w:style w:type="paragraph" w:customStyle="1" w:styleId="94">
    <w:name w:val="_Style 119"/>
    <w:next w:val="1"/>
    <w:qFormat/>
    <w:uiPriority w:val="99"/>
    <w:rPr>
      <w:rFonts w:ascii="Times New Roman" w:hAnsi="Times New Roman" w:eastAsia="宋体" w:cs="Times New Roman"/>
      <w:sz w:val="21"/>
      <w:lang w:val="en-US" w:eastAsia="zh-CN" w:bidi="ar-SA"/>
    </w:rPr>
  </w:style>
  <w:style w:type="paragraph" w:customStyle="1" w:styleId="95">
    <w:name w:val="font8"/>
    <w:basedOn w:val="1"/>
    <w:qFormat/>
    <w:uiPriority w:val="0"/>
    <w:pPr>
      <w:spacing w:before="100" w:beforeAutospacing="1" w:after="100" w:afterAutospacing="1"/>
    </w:pPr>
    <w:rPr>
      <w:b/>
      <w:bCs/>
      <w:sz w:val="36"/>
      <w:szCs w:val="36"/>
    </w:rPr>
  </w:style>
  <w:style w:type="paragraph" w:customStyle="1" w:styleId="96">
    <w:name w:val="1"/>
    <w:basedOn w:val="1"/>
    <w:next w:val="25"/>
    <w:qFormat/>
    <w:uiPriority w:val="0"/>
    <w:pPr>
      <w:widowControl w:val="0"/>
      <w:jc w:val="both"/>
    </w:pPr>
    <w:rPr>
      <w:rFonts w:ascii="宋体" w:hAnsi="Courier New"/>
      <w:kern w:val="2"/>
    </w:rPr>
  </w:style>
  <w:style w:type="paragraph" w:customStyle="1" w:styleId="97">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98">
    <w:name w:val="_Style 2"/>
    <w:basedOn w:val="1"/>
    <w:qFormat/>
    <w:uiPriority w:val="34"/>
    <w:pPr>
      <w:ind w:firstLine="420" w:firstLineChars="200"/>
    </w:pPr>
    <w:rPr>
      <w:rFonts w:ascii="宋体" w:hAnsi="宋体" w:cs="宋体"/>
      <w:sz w:val="24"/>
      <w:szCs w:val="24"/>
    </w:rPr>
  </w:style>
  <w:style w:type="paragraph" w:customStyle="1" w:styleId="99">
    <w:name w:val="D文1"/>
    <w:basedOn w:val="1"/>
    <w:qFormat/>
    <w:uiPriority w:val="0"/>
    <w:pPr>
      <w:widowControl w:val="0"/>
      <w:tabs>
        <w:tab w:val="left" w:pos="720"/>
      </w:tabs>
      <w:autoSpaceDE w:val="0"/>
      <w:autoSpaceDN w:val="0"/>
      <w:adjustRightInd w:val="0"/>
      <w:spacing w:after="120" w:line="480" w:lineRule="atLeast"/>
      <w:ind w:left="680" w:firstLine="510"/>
      <w:jc w:val="both"/>
    </w:pPr>
    <w:rPr>
      <w:rFonts w:ascii="宋体"/>
      <w:sz w:val="24"/>
    </w:rPr>
  </w:style>
  <w:style w:type="paragraph" w:customStyle="1" w:styleId="100">
    <w:name w:val="Char1 Char Char Char"/>
    <w:basedOn w:val="1"/>
    <w:qFormat/>
    <w:uiPriority w:val="0"/>
    <w:pPr>
      <w:widowControl w:val="0"/>
      <w:ind w:left="420" w:hanging="420"/>
      <w:jc w:val="both"/>
    </w:pPr>
    <w:rPr>
      <w:kern w:val="2"/>
      <w:sz w:val="24"/>
      <w:szCs w:val="24"/>
    </w:rPr>
  </w:style>
  <w:style w:type="paragraph" w:customStyle="1" w:styleId="101">
    <w:name w:val="样式 标题 2 +"/>
    <w:basedOn w:val="6"/>
    <w:qFormat/>
    <w:uiPriority w:val="0"/>
    <w:rPr>
      <w:bCs/>
      <w:kern w:val="2"/>
    </w:rPr>
  </w:style>
  <w:style w:type="paragraph" w:customStyle="1" w:styleId="102">
    <w:name w:val="msolistparagraph"/>
    <w:basedOn w:val="1"/>
    <w:qFormat/>
    <w:uiPriority w:val="0"/>
    <w:pPr>
      <w:spacing w:before="100" w:beforeAutospacing="1" w:after="100" w:afterAutospacing="1"/>
    </w:pPr>
    <w:rPr>
      <w:rFonts w:ascii="宋体" w:hAnsi="宋体" w:cs="宋体"/>
      <w:sz w:val="24"/>
      <w:szCs w:val="24"/>
    </w:rPr>
  </w:style>
  <w:style w:type="paragraph" w:customStyle="1" w:styleId="103">
    <w:name w:val="Char Char Char Char Char Char Char Char Char Char1"/>
    <w:basedOn w:val="1"/>
    <w:qFormat/>
    <w:uiPriority w:val="0"/>
    <w:pPr>
      <w:widowControl w:val="0"/>
      <w:jc w:val="both"/>
    </w:pPr>
    <w:rPr>
      <w:rFonts w:ascii="Tahoma" w:hAnsi="Tahoma"/>
      <w:kern w:val="2"/>
      <w:sz w:val="24"/>
    </w:rPr>
  </w:style>
  <w:style w:type="paragraph" w:customStyle="1" w:styleId="104">
    <w:name w:val="xl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05">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06">
    <w:name w:val="Char"/>
    <w:basedOn w:val="1"/>
    <w:qFormat/>
    <w:uiPriority w:val="0"/>
    <w:pPr>
      <w:spacing w:after="160" w:line="240" w:lineRule="exact"/>
    </w:pPr>
    <w:rPr>
      <w:rFonts w:ascii="Verdana" w:hAnsi="Verdana"/>
      <w:lang w:eastAsia="en-US"/>
    </w:rPr>
  </w:style>
  <w:style w:type="paragraph" w:customStyle="1" w:styleId="107">
    <w:name w:val="Blockquote"/>
    <w:basedOn w:val="1"/>
    <w:qFormat/>
    <w:uiPriority w:val="0"/>
    <w:pPr>
      <w:widowControl w:val="0"/>
      <w:autoSpaceDE w:val="0"/>
      <w:autoSpaceDN w:val="0"/>
      <w:adjustRightInd w:val="0"/>
      <w:spacing w:before="100" w:after="100"/>
      <w:ind w:left="360" w:right="360"/>
    </w:pPr>
    <w:rPr>
      <w:sz w:val="24"/>
    </w:rPr>
  </w:style>
  <w:style w:type="paragraph" w:customStyle="1" w:styleId="108">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0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10">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11">
    <w:name w:val="正文缩近"/>
    <w:basedOn w:val="1"/>
    <w:qFormat/>
    <w:uiPriority w:val="0"/>
    <w:pPr>
      <w:widowControl w:val="0"/>
      <w:spacing w:line="360" w:lineRule="auto"/>
      <w:ind w:firstLine="200" w:firstLineChars="200"/>
      <w:jc w:val="both"/>
    </w:pPr>
    <w:rPr>
      <w:kern w:val="2"/>
      <w:sz w:val="24"/>
      <w:szCs w:val="24"/>
    </w:rPr>
  </w:style>
  <w:style w:type="paragraph" w:customStyle="1" w:styleId="112">
    <w:name w:val="xl66"/>
    <w:basedOn w:val="1"/>
    <w:qFormat/>
    <w:uiPriority w:val="0"/>
    <w:pPr>
      <w:spacing w:before="100" w:beforeAutospacing="1" w:after="100" w:afterAutospacing="1"/>
      <w:jc w:val="center"/>
    </w:pPr>
    <w:rPr>
      <w:rFonts w:ascii="宋体" w:hAnsi="宋体" w:cs="宋体"/>
      <w:sz w:val="24"/>
      <w:szCs w:val="24"/>
    </w:rPr>
  </w:style>
  <w:style w:type="paragraph" w:customStyle="1" w:styleId="113">
    <w:name w:val="b"/>
    <w:basedOn w:val="1"/>
    <w:qFormat/>
    <w:uiPriority w:val="0"/>
    <w:pPr>
      <w:tabs>
        <w:tab w:val="left" w:pos="180"/>
        <w:tab w:val="left" w:pos="540"/>
        <w:tab w:val="left" w:pos="1140"/>
      </w:tabs>
      <w:spacing w:line="520" w:lineRule="exact"/>
      <w:ind w:right="-65"/>
      <w:outlineLvl w:val="1"/>
    </w:pPr>
    <w:rPr>
      <w:rFonts w:ascii="宋体" w:hAnsi="宋体"/>
      <w:b/>
      <w:sz w:val="24"/>
      <w:szCs w:val="24"/>
    </w:rPr>
  </w:style>
  <w:style w:type="paragraph" w:customStyle="1" w:styleId="114">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15">
    <w:name w:val="_Style 107"/>
    <w:semiHidden/>
    <w:qFormat/>
    <w:uiPriority w:val="99"/>
    <w:rPr>
      <w:rFonts w:ascii="Times New Roman" w:hAnsi="Times New Roman" w:eastAsia="宋体" w:cs="Times New Roman"/>
      <w:sz w:val="21"/>
      <w:lang w:val="en-US" w:eastAsia="zh-CN" w:bidi="ar-SA"/>
    </w:rPr>
  </w:style>
  <w:style w:type="paragraph" w:customStyle="1" w:styleId="116">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17">
    <w:name w:val="Char Char Char Char Char Char Char Char Char Char"/>
    <w:basedOn w:val="1"/>
    <w:qFormat/>
    <w:uiPriority w:val="0"/>
    <w:pPr>
      <w:widowControl w:val="0"/>
      <w:jc w:val="both"/>
    </w:pPr>
    <w:rPr>
      <w:rFonts w:ascii="Tahoma" w:hAnsi="Tahoma"/>
      <w:kern w:val="2"/>
      <w:sz w:val="24"/>
    </w:rPr>
  </w:style>
  <w:style w:type="paragraph" w:customStyle="1" w:styleId="118">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sz w:val="18"/>
      <w:szCs w:val="18"/>
    </w:rPr>
  </w:style>
  <w:style w:type="paragraph" w:customStyle="1" w:styleId="119">
    <w:name w:val="列出段落3"/>
    <w:basedOn w:val="1"/>
    <w:qFormat/>
    <w:uiPriority w:val="34"/>
    <w:pPr>
      <w:widowControl w:val="0"/>
      <w:ind w:firstLine="420" w:firstLineChars="200"/>
      <w:jc w:val="both"/>
    </w:pPr>
    <w:rPr>
      <w:rFonts w:ascii="Calibri" w:hAnsi="Calibri"/>
      <w:kern w:val="2"/>
      <w:szCs w:val="22"/>
    </w:rPr>
  </w:style>
  <w:style w:type="paragraph" w:customStyle="1" w:styleId="120">
    <w:name w:val="Char1"/>
    <w:basedOn w:val="1"/>
    <w:qFormat/>
    <w:uiPriority w:val="0"/>
    <w:pPr>
      <w:widowControl w:val="0"/>
      <w:jc w:val="both"/>
    </w:pPr>
    <w:rPr>
      <w:kern w:val="2"/>
    </w:rPr>
  </w:style>
  <w:style w:type="paragraph" w:customStyle="1" w:styleId="121">
    <w:name w:val="TOC 标题1"/>
    <w:basedOn w:val="5"/>
    <w:next w:val="1"/>
    <w:qFormat/>
    <w:uiPriority w:val="0"/>
    <w:pPr>
      <w:spacing w:before="480" w:after="0" w:line="276" w:lineRule="auto"/>
      <w:outlineLvl w:val="9"/>
    </w:pPr>
    <w:rPr>
      <w:rFonts w:ascii="Cambria" w:hAnsi="Cambria"/>
      <w:color w:val="365F91"/>
      <w:kern w:val="0"/>
      <w:sz w:val="28"/>
      <w:szCs w:val="28"/>
    </w:rPr>
  </w:style>
  <w:style w:type="paragraph" w:customStyle="1" w:styleId="122">
    <w:name w:val="Char2"/>
    <w:basedOn w:val="1"/>
    <w:qFormat/>
    <w:uiPriority w:val="0"/>
    <w:rPr>
      <w:rFonts w:ascii="Tahoma" w:hAnsi="Tahoma"/>
      <w:sz w:val="24"/>
    </w:rPr>
  </w:style>
  <w:style w:type="paragraph" w:customStyle="1" w:styleId="123">
    <w:name w:val="图"/>
    <w:basedOn w:val="1"/>
    <w:qFormat/>
    <w:uiPriority w:val="0"/>
    <w:pPr>
      <w:keepNext/>
      <w:widowControl w:val="0"/>
      <w:adjustRightInd w:val="0"/>
      <w:spacing w:before="60" w:after="60" w:line="300" w:lineRule="auto"/>
      <w:jc w:val="center"/>
      <w:textAlignment w:val="center"/>
    </w:pPr>
    <w:rPr>
      <w:spacing w:val="20"/>
      <w:sz w:val="24"/>
    </w:rPr>
  </w:style>
  <w:style w:type="paragraph" w:customStyle="1" w:styleId="124">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25">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2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27">
    <w:name w:val="150"/>
    <w:basedOn w:val="1"/>
    <w:qFormat/>
    <w:uiPriority w:val="0"/>
    <w:pPr>
      <w:spacing w:before="100" w:beforeAutospacing="1" w:after="100" w:afterAutospacing="1" w:line="360" w:lineRule="auto"/>
    </w:pPr>
    <w:rPr>
      <w:rFonts w:ascii="宋体" w:hAnsi="宋体"/>
      <w:color w:val="000000"/>
      <w:sz w:val="24"/>
      <w:szCs w:val="24"/>
    </w:rPr>
  </w:style>
  <w:style w:type="paragraph" w:customStyle="1" w:styleId="12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29">
    <w:name w:val="font7"/>
    <w:basedOn w:val="1"/>
    <w:qFormat/>
    <w:uiPriority w:val="0"/>
    <w:pPr>
      <w:spacing w:before="100" w:beforeAutospacing="1" w:after="100" w:afterAutospacing="1"/>
    </w:pPr>
    <w:rPr>
      <w:rFonts w:ascii="宋体" w:hAnsi="宋体" w:cs="宋体"/>
      <w:b/>
      <w:bCs/>
      <w:sz w:val="36"/>
      <w:szCs w:val="36"/>
    </w:rPr>
  </w:style>
  <w:style w:type="paragraph" w:customStyle="1" w:styleId="130">
    <w:name w:val="Char Char Char Char"/>
    <w:basedOn w:val="1"/>
    <w:qFormat/>
    <w:uiPriority w:val="0"/>
    <w:pPr>
      <w:tabs>
        <w:tab w:val="left" w:pos="965"/>
      </w:tabs>
      <w:spacing w:after="160" w:line="240" w:lineRule="exact"/>
      <w:ind w:left="965" w:hanging="425"/>
    </w:pPr>
    <w:rPr>
      <w:rFonts w:ascii="Verdana" w:hAnsi="Verdana"/>
      <w:lang w:eastAsia="en-US"/>
    </w:rPr>
  </w:style>
  <w:style w:type="paragraph" w:customStyle="1" w:styleId="131">
    <w:name w:val="xl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32">
    <w:name w:val="xl65"/>
    <w:basedOn w:val="1"/>
    <w:qFormat/>
    <w:uiPriority w:val="0"/>
    <w:pPr>
      <w:spacing w:before="100" w:beforeAutospacing="1" w:after="100" w:afterAutospacing="1"/>
    </w:pPr>
    <w:rPr>
      <w:rFonts w:ascii="宋体" w:hAnsi="宋体" w:cs="宋体"/>
      <w:sz w:val="24"/>
      <w:szCs w:val="24"/>
    </w:rPr>
  </w:style>
  <w:style w:type="paragraph" w:customStyle="1" w:styleId="133">
    <w:name w:val="font5"/>
    <w:basedOn w:val="1"/>
    <w:qFormat/>
    <w:uiPriority w:val="0"/>
    <w:pPr>
      <w:spacing w:before="100" w:beforeAutospacing="1" w:after="100" w:afterAutospacing="1"/>
    </w:pPr>
    <w:rPr>
      <w:rFonts w:ascii="宋体" w:hAnsi="宋体" w:cs="宋体"/>
      <w:sz w:val="18"/>
      <w:szCs w:val="18"/>
    </w:rPr>
  </w:style>
  <w:style w:type="paragraph" w:customStyle="1" w:styleId="134">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5">
    <w:name w:val="列出段落2"/>
    <w:basedOn w:val="1"/>
    <w:qFormat/>
    <w:uiPriority w:val="34"/>
    <w:pPr>
      <w:widowControl w:val="0"/>
      <w:ind w:firstLine="420" w:firstLineChars="200"/>
      <w:jc w:val="both"/>
    </w:pPr>
    <w:rPr>
      <w:kern w:val="2"/>
      <w:szCs w:val="24"/>
    </w:rPr>
  </w:style>
  <w:style w:type="paragraph" w:customStyle="1" w:styleId="136">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37">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38">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39">
    <w:name w:val="xl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40">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szCs w:val="24"/>
    </w:rPr>
  </w:style>
  <w:style w:type="paragraph" w:customStyle="1" w:styleId="141">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42">
    <w:name w:val="f14"/>
    <w:basedOn w:val="1"/>
    <w:qFormat/>
    <w:uiPriority w:val="0"/>
    <w:pPr>
      <w:spacing w:before="100" w:beforeAutospacing="1" w:after="100" w:afterAutospacing="1"/>
    </w:pPr>
    <w:rPr>
      <w:rFonts w:ascii="_GB2312" w:hAnsi="_GB2312"/>
      <w:color w:val="000000"/>
      <w:sz w:val="28"/>
      <w:szCs w:val="28"/>
    </w:rPr>
  </w:style>
  <w:style w:type="paragraph" w:customStyle="1" w:styleId="143">
    <w:name w:val="xl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rPr>
  </w:style>
  <w:style w:type="paragraph" w:customStyle="1" w:styleId="14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145">
    <w:name w:val="xl24"/>
    <w:basedOn w:val="1"/>
    <w:qFormat/>
    <w:uiPriority w:val="0"/>
    <w:pPr>
      <w:spacing w:before="100" w:beforeAutospacing="1" w:after="100" w:afterAutospacing="1"/>
      <w:jc w:val="center"/>
    </w:pPr>
    <w:rPr>
      <w:rFonts w:ascii="宋体" w:hAnsi="宋体" w:cs="宋体"/>
      <w:sz w:val="24"/>
      <w:szCs w:val="24"/>
    </w:rPr>
  </w:style>
  <w:style w:type="paragraph" w:customStyle="1" w:styleId="146">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47">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148">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149">
    <w:name w:val="Char3"/>
    <w:basedOn w:val="1"/>
    <w:qFormat/>
    <w:uiPriority w:val="0"/>
    <w:pPr>
      <w:widowControl w:val="0"/>
      <w:jc w:val="both"/>
    </w:pPr>
    <w:rPr>
      <w:rFonts w:ascii="Tahoma" w:hAnsi="Tahoma"/>
      <w:kern w:val="2"/>
      <w:sz w:val="24"/>
    </w:rPr>
  </w:style>
  <w:style w:type="paragraph" w:customStyle="1" w:styleId="150">
    <w:name w:val="Char Char Char Char Char1 Char"/>
    <w:basedOn w:val="1"/>
    <w:qFormat/>
    <w:uiPriority w:val="0"/>
    <w:pPr>
      <w:widowControl w:val="0"/>
      <w:jc w:val="both"/>
    </w:pPr>
    <w:rPr>
      <w:rFonts w:ascii="Tahoma" w:hAnsi="Tahoma"/>
      <w:kern w:val="2"/>
      <w:sz w:val="24"/>
    </w:rPr>
  </w:style>
  <w:style w:type="paragraph" w:customStyle="1" w:styleId="151">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sz w:val="18"/>
      <w:szCs w:val="18"/>
    </w:rPr>
  </w:style>
  <w:style w:type="paragraph" w:customStyle="1" w:styleId="152">
    <w:name w:val="需求书2"/>
    <w:basedOn w:val="1"/>
    <w:qFormat/>
    <w:uiPriority w:val="0"/>
    <w:pPr>
      <w:widowControl w:val="0"/>
      <w:jc w:val="both"/>
    </w:pPr>
    <w:rPr>
      <w:rFonts w:ascii="宋体" w:hAnsi="宋体"/>
      <w:b/>
      <w:spacing w:val="10"/>
      <w:kern w:val="2"/>
      <w:sz w:val="24"/>
      <w:szCs w:val="24"/>
    </w:rPr>
  </w:style>
  <w:style w:type="paragraph" w:customStyle="1" w:styleId="153">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154">
    <w:name w:val="正文首行缩进 Char"/>
    <w:link w:val="47"/>
    <w:qFormat/>
    <w:uiPriority w:val="0"/>
    <w:rPr>
      <w:kern w:val="2"/>
      <w:sz w:val="21"/>
      <w:szCs w:val="24"/>
    </w:rPr>
  </w:style>
  <w:style w:type="character" w:customStyle="1" w:styleId="155">
    <w:name w:val="ll1"/>
    <w:qFormat/>
    <w:uiPriority w:val="0"/>
    <w:rPr>
      <w:spacing w:val="31680"/>
    </w:rPr>
  </w:style>
  <w:style w:type="character" w:customStyle="1" w:styleId="156">
    <w:name w:val="Char Char23"/>
    <w:qFormat/>
    <w:uiPriority w:val="0"/>
    <w:rPr>
      <w:rFonts w:ascii="宋体" w:cs="宋体"/>
      <w:sz w:val="21"/>
    </w:rPr>
  </w:style>
  <w:style w:type="character" w:customStyle="1" w:styleId="157">
    <w:name w:val="apple-converted-space"/>
    <w:qFormat/>
    <w:uiPriority w:val="0"/>
  </w:style>
  <w:style w:type="character" w:customStyle="1" w:styleId="158">
    <w:name w:val="Body Text Indent Char1"/>
    <w:semiHidden/>
    <w:qFormat/>
    <w:uiPriority w:val="99"/>
    <w:rPr>
      <w:sz w:val="21"/>
    </w:rPr>
  </w:style>
  <w:style w:type="character" w:customStyle="1" w:styleId="159">
    <w:name w:val="标题 2 Char"/>
    <w:qFormat/>
    <w:locked/>
    <w:uiPriority w:val="0"/>
    <w:rPr>
      <w:rFonts w:ascii="宋体" w:hAnsi="Arial"/>
      <w:sz w:val="32"/>
    </w:rPr>
  </w:style>
  <w:style w:type="character" w:customStyle="1" w:styleId="160">
    <w:name w:val="p141"/>
    <w:qFormat/>
    <w:uiPriority w:val="99"/>
    <w:rPr>
      <w:sz w:val="21"/>
    </w:rPr>
  </w:style>
  <w:style w:type="character" w:customStyle="1" w:styleId="161">
    <w:name w:val="列出段落 Char"/>
    <w:link w:val="61"/>
    <w:qFormat/>
    <w:locked/>
    <w:uiPriority w:val="0"/>
    <w:rPr>
      <w:rFonts w:ascii="宋体" w:eastAsia="宋体"/>
      <w:sz w:val="24"/>
    </w:rPr>
  </w:style>
  <w:style w:type="character" w:customStyle="1" w:styleId="162">
    <w:name w:val="正文文本 3 Char"/>
    <w:link w:val="19"/>
    <w:qFormat/>
    <w:locked/>
    <w:uiPriority w:val="0"/>
    <w:rPr>
      <w:sz w:val="16"/>
    </w:rPr>
  </w:style>
  <w:style w:type="character" w:customStyle="1" w:styleId="163">
    <w:name w:val="正文缩进 Char"/>
    <w:link w:val="7"/>
    <w:qFormat/>
    <w:locked/>
    <w:uiPriority w:val="0"/>
    <w:rPr>
      <w:rFonts w:eastAsia="宋体"/>
      <w:sz w:val="21"/>
      <w:lang w:val="en-US" w:eastAsia="zh-CN"/>
    </w:rPr>
  </w:style>
  <w:style w:type="character" w:customStyle="1" w:styleId="164">
    <w:name w:val="Body Text 3 Char1"/>
    <w:semiHidden/>
    <w:qFormat/>
    <w:uiPriority w:val="99"/>
    <w:rPr>
      <w:sz w:val="16"/>
      <w:szCs w:val="16"/>
    </w:rPr>
  </w:style>
  <w:style w:type="character" w:customStyle="1" w:styleId="165">
    <w:name w:val="纯文本 Char1"/>
    <w:qFormat/>
    <w:uiPriority w:val="0"/>
    <w:rPr>
      <w:rFonts w:ascii="宋体" w:hAnsi="Courier New"/>
      <w:kern w:val="2"/>
      <w:sz w:val="21"/>
      <w:szCs w:val="24"/>
    </w:rPr>
  </w:style>
  <w:style w:type="character" w:customStyle="1" w:styleId="166">
    <w:name w:val="尾注文本 Char"/>
    <w:link w:val="29"/>
    <w:qFormat/>
    <w:locked/>
    <w:uiPriority w:val="99"/>
    <w:rPr>
      <w:rFonts w:ascii="Calibri" w:hAnsi="Calibri"/>
      <w:kern w:val="2"/>
      <w:sz w:val="22"/>
    </w:rPr>
  </w:style>
  <w:style w:type="character" w:customStyle="1" w:styleId="167">
    <w:name w:val="正文文本缩进 Char"/>
    <w:link w:val="3"/>
    <w:qFormat/>
    <w:locked/>
    <w:uiPriority w:val="0"/>
    <w:rPr>
      <w:sz w:val="21"/>
    </w:rPr>
  </w:style>
  <w:style w:type="character" w:customStyle="1" w:styleId="168">
    <w:name w:val="HTML 预设格式 Char1"/>
    <w:link w:val="43"/>
    <w:qFormat/>
    <w:locked/>
    <w:uiPriority w:val="0"/>
    <w:rPr>
      <w:rFonts w:ascii="黑体" w:hAnsi="Courier New" w:eastAsia="黑体"/>
      <w:sz w:val="21"/>
    </w:rPr>
  </w:style>
  <w:style w:type="character" w:customStyle="1" w:styleId="169">
    <w:name w:val="Plain Text Char1"/>
    <w:semiHidden/>
    <w:qFormat/>
    <w:uiPriority w:val="99"/>
    <w:rPr>
      <w:rFonts w:ascii="宋体" w:hAnsi="Courier New" w:cs="Courier New"/>
      <w:sz w:val="21"/>
      <w:szCs w:val="21"/>
    </w:rPr>
  </w:style>
  <w:style w:type="character" w:customStyle="1" w:styleId="170">
    <w:name w:val="标题 8 Char"/>
    <w:link w:val="13"/>
    <w:qFormat/>
    <w:locked/>
    <w:uiPriority w:val="0"/>
    <w:rPr>
      <w:rFonts w:ascii="Arial" w:hAnsi="Arial" w:eastAsia="黑体"/>
      <w:color w:val="000000"/>
      <w:sz w:val="24"/>
    </w:rPr>
  </w:style>
  <w:style w:type="character" w:customStyle="1" w:styleId="171">
    <w:name w:val="访问过的超链接1"/>
    <w:qFormat/>
    <w:uiPriority w:val="0"/>
    <w:rPr>
      <w:color w:val="800080"/>
      <w:u w:val="single"/>
    </w:rPr>
  </w:style>
  <w:style w:type="character" w:customStyle="1" w:styleId="172">
    <w:name w:val="Body Text 2 Char1"/>
    <w:semiHidden/>
    <w:qFormat/>
    <w:uiPriority w:val="99"/>
    <w:rPr>
      <w:sz w:val="21"/>
    </w:rPr>
  </w:style>
  <w:style w:type="character" w:customStyle="1" w:styleId="173">
    <w:name w:val="wf1"/>
    <w:qFormat/>
    <w:uiPriority w:val="0"/>
    <w:rPr>
      <w:rFonts w:ascii="宋体" w:hAnsi="宋体" w:eastAsia="宋体"/>
      <w:sz w:val="24"/>
    </w:rPr>
  </w:style>
  <w:style w:type="character" w:customStyle="1" w:styleId="174">
    <w:name w:val="批注框文本 Char"/>
    <w:link w:val="30"/>
    <w:qFormat/>
    <w:locked/>
    <w:uiPriority w:val="99"/>
    <w:rPr>
      <w:rFonts w:eastAsia="宋体"/>
      <w:sz w:val="18"/>
      <w:lang w:val="en-US" w:eastAsia="zh-CN"/>
    </w:rPr>
  </w:style>
  <w:style w:type="character" w:customStyle="1" w:styleId="175">
    <w:name w:val="标题 7 Char"/>
    <w:link w:val="12"/>
    <w:qFormat/>
    <w:locked/>
    <w:uiPriority w:val="0"/>
    <w:rPr>
      <w:rFonts w:ascii="宋体"/>
      <w:b/>
      <w:color w:val="000000"/>
      <w:sz w:val="24"/>
    </w:rPr>
  </w:style>
  <w:style w:type="character" w:customStyle="1" w:styleId="176">
    <w:name w:val="批注主题 Char"/>
    <w:link w:val="46"/>
    <w:qFormat/>
    <w:locked/>
    <w:uiPriority w:val="99"/>
    <w:rPr>
      <w:b/>
      <w:sz w:val="21"/>
    </w:rPr>
  </w:style>
  <w:style w:type="character" w:customStyle="1" w:styleId="177">
    <w:name w:val="Body Text Indent 2 Char1"/>
    <w:semiHidden/>
    <w:qFormat/>
    <w:uiPriority w:val="99"/>
    <w:rPr>
      <w:sz w:val="21"/>
    </w:rPr>
  </w:style>
  <w:style w:type="character" w:customStyle="1" w:styleId="178">
    <w:name w:val="批注文字 Char"/>
    <w:link w:val="18"/>
    <w:qFormat/>
    <w:locked/>
    <w:uiPriority w:val="0"/>
    <w:rPr>
      <w:sz w:val="21"/>
    </w:rPr>
  </w:style>
  <w:style w:type="character" w:customStyle="1" w:styleId="179">
    <w:name w:val="日期 Char"/>
    <w:link w:val="27"/>
    <w:qFormat/>
    <w:locked/>
    <w:uiPriority w:val="0"/>
    <w:rPr>
      <w:rFonts w:ascii="楷体_GB2312" w:eastAsia="楷体_GB2312"/>
      <w:kern w:val="2"/>
      <w:sz w:val="28"/>
    </w:rPr>
  </w:style>
  <w:style w:type="character" w:customStyle="1" w:styleId="180">
    <w:name w:val="纯文本 Char"/>
    <w:link w:val="25"/>
    <w:qFormat/>
    <w:locked/>
    <w:uiPriority w:val="0"/>
    <w:rPr>
      <w:rFonts w:ascii="宋体" w:hAnsi="Courier New" w:eastAsia="宋体"/>
      <w:sz w:val="21"/>
      <w:lang w:val="en-US" w:eastAsia="zh-CN"/>
    </w:rPr>
  </w:style>
  <w:style w:type="character" w:customStyle="1" w:styleId="181">
    <w:name w:val="font01"/>
    <w:qFormat/>
    <w:uiPriority w:val="0"/>
    <w:rPr>
      <w:rFonts w:hint="eastAsia" w:ascii="宋体" w:hAnsi="宋体" w:eastAsia="宋体" w:cs="宋体"/>
      <w:color w:val="000000"/>
      <w:sz w:val="20"/>
      <w:szCs w:val="20"/>
      <w:u w:val="none"/>
    </w:rPr>
  </w:style>
  <w:style w:type="character" w:customStyle="1" w:styleId="182">
    <w:name w:val="正文文本缩进 2 Char"/>
    <w:link w:val="28"/>
    <w:qFormat/>
    <w:locked/>
    <w:uiPriority w:val="0"/>
    <w:rPr>
      <w:sz w:val="21"/>
    </w:rPr>
  </w:style>
  <w:style w:type="character" w:customStyle="1" w:styleId="183">
    <w:name w:val="标题 4 Char"/>
    <w:link w:val="9"/>
    <w:qFormat/>
    <w:locked/>
    <w:uiPriority w:val="0"/>
    <w:rPr>
      <w:rFonts w:ascii="宋体" w:hAnsi="Arial"/>
      <w:color w:val="000000"/>
      <w:sz w:val="21"/>
    </w:rPr>
  </w:style>
  <w:style w:type="character" w:customStyle="1" w:styleId="184">
    <w:name w:val="Comment Subject Char1"/>
    <w:semiHidden/>
    <w:qFormat/>
    <w:uiPriority w:val="99"/>
    <w:rPr>
      <w:b/>
      <w:bCs/>
      <w:sz w:val="21"/>
    </w:rPr>
  </w:style>
  <w:style w:type="character" w:customStyle="1" w:styleId="185">
    <w:name w:val="标题 5 Char"/>
    <w:link w:val="10"/>
    <w:qFormat/>
    <w:locked/>
    <w:uiPriority w:val="0"/>
    <w:rPr>
      <w:rFonts w:ascii="宋体"/>
      <w:b/>
      <w:color w:val="000000"/>
      <w:sz w:val="28"/>
    </w:rPr>
  </w:style>
  <w:style w:type="character" w:customStyle="1" w:styleId="186">
    <w:name w:val="标题 9 Char"/>
    <w:link w:val="14"/>
    <w:qFormat/>
    <w:locked/>
    <w:uiPriority w:val="0"/>
    <w:rPr>
      <w:rFonts w:ascii="Arial" w:hAnsi="Arial" w:eastAsia="黑体"/>
      <w:color w:val="000000"/>
      <w:sz w:val="21"/>
    </w:rPr>
  </w:style>
  <w:style w:type="character" w:customStyle="1" w:styleId="187">
    <w:name w:val="Date Char1"/>
    <w:semiHidden/>
    <w:qFormat/>
    <w:uiPriority w:val="99"/>
    <w:rPr>
      <w:sz w:val="21"/>
    </w:rPr>
  </w:style>
  <w:style w:type="character" w:customStyle="1" w:styleId="188">
    <w:name w:val="文档结构图 Char"/>
    <w:link w:val="17"/>
    <w:qFormat/>
    <w:locked/>
    <w:uiPriority w:val="0"/>
    <w:rPr>
      <w:kern w:val="2"/>
      <w:sz w:val="21"/>
      <w:shd w:val="clear" w:color="auto" w:fill="000080"/>
    </w:rPr>
  </w:style>
  <w:style w:type="character" w:customStyle="1" w:styleId="189">
    <w:name w:val="标题 Char"/>
    <w:link w:val="45"/>
    <w:qFormat/>
    <w:uiPriority w:val="0"/>
    <w:rPr>
      <w:rFonts w:ascii="Arial" w:hAnsi="Arial"/>
      <w:b/>
      <w:bCs/>
      <w:kern w:val="2"/>
      <w:sz w:val="32"/>
      <w:szCs w:val="32"/>
    </w:rPr>
  </w:style>
  <w:style w:type="character" w:customStyle="1" w:styleId="190">
    <w:name w:val="Body Text Char1"/>
    <w:semiHidden/>
    <w:qFormat/>
    <w:uiPriority w:val="99"/>
    <w:rPr>
      <w:sz w:val="21"/>
    </w:rPr>
  </w:style>
  <w:style w:type="character" w:customStyle="1" w:styleId="191">
    <w:name w:val="正文文本缩进 3 Char"/>
    <w:link w:val="38"/>
    <w:qFormat/>
    <w:locked/>
    <w:uiPriority w:val="0"/>
    <w:rPr>
      <w:sz w:val="16"/>
    </w:rPr>
  </w:style>
  <w:style w:type="character" w:customStyle="1" w:styleId="192">
    <w:name w:val="Document Map Char1"/>
    <w:semiHidden/>
    <w:qFormat/>
    <w:uiPriority w:val="99"/>
    <w:rPr>
      <w:sz w:val="16"/>
      <w:szCs w:val="0"/>
    </w:rPr>
  </w:style>
  <w:style w:type="character" w:customStyle="1" w:styleId="193">
    <w:name w:val="apple-style-span"/>
    <w:qFormat/>
    <w:uiPriority w:val="0"/>
    <w:rPr>
      <w:rFonts w:cs="Times New Roman"/>
    </w:rPr>
  </w:style>
  <w:style w:type="character" w:customStyle="1" w:styleId="194">
    <w:name w:val="页脚 Char"/>
    <w:link w:val="31"/>
    <w:qFormat/>
    <w:locked/>
    <w:uiPriority w:val="99"/>
    <w:rPr>
      <w:sz w:val="18"/>
    </w:rPr>
  </w:style>
  <w:style w:type="character" w:customStyle="1" w:styleId="195">
    <w:name w:val="HTML 预设格式 Char"/>
    <w:qFormat/>
    <w:uiPriority w:val="0"/>
    <w:rPr>
      <w:rFonts w:ascii="黑体" w:hAnsi="Courier New" w:eastAsia="黑体"/>
      <w:sz w:val="21"/>
    </w:rPr>
  </w:style>
  <w:style w:type="character" w:customStyle="1" w:styleId="196">
    <w:name w:val="Comment Text Char1"/>
    <w:semiHidden/>
    <w:qFormat/>
    <w:uiPriority w:val="99"/>
    <w:rPr>
      <w:sz w:val="21"/>
    </w:rPr>
  </w:style>
  <w:style w:type="character" w:customStyle="1" w:styleId="197">
    <w:name w:val="标题 3 Char"/>
    <w:qFormat/>
    <w:locked/>
    <w:uiPriority w:val="0"/>
    <w:rPr>
      <w:rFonts w:ascii="宋体"/>
      <w:sz w:val="21"/>
    </w:rPr>
  </w:style>
  <w:style w:type="character" w:customStyle="1" w:styleId="198">
    <w:name w:val="正文文本 Char"/>
    <w:link w:val="21"/>
    <w:qFormat/>
    <w:locked/>
    <w:uiPriority w:val="0"/>
    <w:rPr>
      <w:sz w:val="21"/>
    </w:rPr>
  </w:style>
  <w:style w:type="character" w:customStyle="1" w:styleId="199">
    <w:name w:val="正文文本 2 Char"/>
    <w:link w:val="41"/>
    <w:qFormat/>
    <w:locked/>
    <w:uiPriority w:val="0"/>
    <w:rPr>
      <w:sz w:val="21"/>
    </w:rPr>
  </w:style>
  <w:style w:type="character" w:customStyle="1" w:styleId="200">
    <w:name w:val="标题 6 Char"/>
    <w:link w:val="11"/>
    <w:qFormat/>
    <w:locked/>
    <w:uiPriority w:val="0"/>
    <w:rPr>
      <w:rFonts w:ascii="Arial" w:hAnsi="Arial" w:eastAsia="黑体"/>
      <w:b/>
      <w:color w:val="000000"/>
      <w:sz w:val="24"/>
    </w:rPr>
  </w:style>
  <w:style w:type="character" w:customStyle="1" w:styleId="201">
    <w:name w:val="结束语 Char"/>
    <w:link w:val="20"/>
    <w:qFormat/>
    <w:uiPriority w:val="0"/>
    <w:rPr>
      <w:rFonts w:ascii="宋体" w:hAnsi="宋体"/>
      <w:color w:val="000000"/>
      <w:kern w:val="2"/>
      <w:sz w:val="24"/>
    </w:rPr>
  </w:style>
  <w:style w:type="character" w:customStyle="1" w:styleId="202">
    <w:name w:val="Balloon Text Char1"/>
    <w:semiHidden/>
    <w:qFormat/>
    <w:uiPriority w:val="99"/>
    <w:rPr>
      <w:sz w:val="16"/>
      <w:szCs w:val="0"/>
    </w:rPr>
  </w:style>
  <w:style w:type="character" w:customStyle="1" w:styleId="203">
    <w:name w:val="Endnote Text Char1"/>
    <w:semiHidden/>
    <w:qFormat/>
    <w:uiPriority w:val="99"/>
    <w:rPr>
      <w:sz w:val="21"/>
    </w:rPr>
  </w:style>
  <w:style w:type="character" w:customStyle="1" w:styleId="204">
    <w:name w:val="Header Char1"/>
    <w:semiHidden/>
    <w:qFormat/>
    <w:uiPriority w:val="99"/>
    <w:rPr>
      <w:sz w:val="18"/>
      <w:szCs w:val="18"/>
    </w:rPr>
  </w:style>
  <w:style w:type="character" w:customStyle="1" w:styleId="205">
    <w:name w:val="页眉 Char"/>
    <w:link w:val="32"/>
    <w:qFormat/>
    <w:locked/>
    <w:uiPriority w:val="99"/>
    <w:rPr>
      <w:sz w:val="18"/>
    </w:rPr>
  </w:style>
  <w:style w:type="character" w:customStyle="1" w:styleId="206">
    <w:name w:val="HTML Preformatted Char1"/>
    <w:semiHidden/>
    <w:qFormat/>
    <w:uiPriority w:val="99"/>
    <w:rPr>
      <w:rFonts w:ascii="Courier New" w:hAnsi="Courier New" w:cs="Courier New"/>
    </w:rPr>
  </w:style>
  <w:style w:type="character" w:customStyle="1" w:styleId="207">
    <w:name w:val="style4"/>
    <w:qFormat/>
    <w:uiPriority w:val="0"/>
  </w:style>
  <w:style w:type="character" w:customStyle="1" w:styleId="208">
    <w:name w:val="标题 1 Char"/>
    <w:link w:val="5"/>
    <w:qFormat/>
    <w:locked/>
    <w:uiPriority w:val="0"/>
    <w:rPr>
      <w:b/>
      <w:kern w:val="44"/>
      <w:sz w:val="44"/>
    </w:rPr>
  </w:style>
  <w:style w:type="character" w:customStyle="1" w:styleId="209">
    <w:name w:val="Footer Char1"/>
    <w:semiHidden/>
    <w:qFormat/>
    <w:uiPriority w:val="99"/>
    <w:rPr>
      <w:sz w:val="18"/>
      <w:szCs w:val="18"/>
    </w:rPr>
  </w:style>
  <w:style w:type="character" w:customStyle="1" w:styleId="210">
    <w:name w:val="style1"/>
    <w:qFormat/>
    <w:uiPriority w:val="0"/>
    <w:rPr>
      <w:rFonts w:cs="Times New Roman"/>
    </w:rPr>
  </w:style>
  <w:style w:type="character" w:customStyle="1" w:styleId="211">
    <w:name w:val="Body Text Indent 3 Char1"/>
    <w:semiHidden/>
    <w:qFormat/>
    <w:uiPriority w:val="99"/>
    <w:rPr>
      <w:sz w:val="16"/>
      <w:szCs w:val="16"/>
    </w:rPr>
  </w:style>
  <w:style w:type="character" w:customStyle="1" w:styleId="212">
    <w:name w:val="Char Char1"/>
    <w:qFormat/>
    <w:uiPriority w:val="0"/>
    <w:rPr>
      <w:sz w:val="21"/>
    </w:rPr>
  </w:style>
  <w:style w:type="character" w:customStyle="1" w:styleId="213">
    <w:name w:val="NormalCharacter"/>
    <w:semiHidden/>
    <w:qFormat/>
    <w:uiPriority w:val="0"/>
    <w:rPr>
      <w:rFonts w:ascii="Times New Roman" w:hAnsi="Times New Roman" w:eastAsia="宋体" w:cs="Times New Roman"/>
      <w:sz w:val="21"/>
      <w:lang w:val="en-US" w:eastAsia="zh-CN" w:bidi="ar-SA"/>
    </w:rPr>
  </w:style>
  <w:style w:type="character" w:customStyle="1" w:styleId="214">
    <w:name w:val="标题 3 Char1"/>
    <w:link w:val="8"/>
    <w:qFormat/>
    <w:locked/>
    <w:uiPriority w:val="0"/>
    <w:rPr>
      <w:rFonts w:ascii="宋体"/>
      <w:sz w:val="21"/>
    </w:rPr>
  </w:style>
  <w:style w:type="character" w:customStyle="1" w:styleId="215">
    <w:name w:val="标题 2 Char1"/>
    <w:link w:val="6"/>
    <w:qFormat/>
    <w:locked/>
    <w:uiPriority w:val="0"/>
    <w:rPr>
      <w:rFonts w:ascii="宋体" w:hAnsi="Arial"/>
      <w:sz w:val="32"/>
    </w:rPr>
  </w:style>
  <w:style w:type="table" w:customStyle="1" w:styleId="216">
    <w:name w:val="Table Normal"/>
    <w:semiHidden/>
    <w:unhideWhenUsed/>
    <w:qFormat/>
    <w:uiPriority w:val="0"/>
    <w:tblPr>
      <w:tblCellMar>
        <w:top w:w="0" w:type="dxa"/>
        <w:left w:w="0" w:type="dxa"/>
        <w:bottom w:w="0" w:type="dxa"/>
        <w:right w:w="0" w:type="dxa"/>
      </w:tblCellMar>
    </w:tblPr>
  </w:style>
  <w:style w:type="paragraph" w:customStyle="1" w:styleId="217">
    <w:name w:val="null3"/>
    <w:hidden/>
    <w:qFormat/>
    <w:uiPriority w:val="0"/>
    <w:rPr>
      <w:rFonts w:hint="eastAsia" w:asciiTheme="minorHAnsi" w:hAnsiTheme="minorHAnsi" w:eastAsiaTheme="minorEastAsia" w:cstheme="minorBidi"/>
      <w:lang w:val="en-US" w:eastAsia="zh-Hans"/>
    </w:rPr>
  </w:style>
  <w:style w:type="paragraph" w:customStyle="1" w:styleId="218">
    <w:name w:val="WPSOffice手动目录 1"/>
    <w:qFormat/>
    <w:uiPriority w:val="0"/>
    <w:pPr>
      <w:ind w:leftChars="0"/>
    </w:pPr>
    <w:rPr>
      <w:rFonts w:ascii="Times New Roman" w:hAnsi="Times New Roman" w:eastAsia="宋体" w:cs="Times New Roman"/>
      <w:sz w:val="20"/>
      <w:szCs w:val="20"/>
    </w:rPr>
  </w:style>
  <w:style w:type="paragraph" w:customStyle="1" w:styleId="219">
    <w:name w:val="text"/>
    <w:basedOn w:val="1"/>
    <w:qFormat/>
    <w:uiPriority w:val="0"/>
    <w:pPr>
      <w:spacing w:after="156" w:afterLines="50" w:line="440" w:lineRule="exact"/>
      <w:ind w:left="1134"/>
    </w:pPr>
    <w:rPr>
      <w:rFonts w:ascii="宋体" w:hAnsi="宋体"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19819-70FD-4299-A702-BE2D71832A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19685</Words>
  <Characters>20580</Characters>
  <Lines>191</Lines>
  <Paragraphs>53</Paragraphs>
  <TotalTime>1</TotalTime>
  <ScaleCrop>false</ScaleCrop>
  <LinksUpToDate>false</LinksUpToDate>
  <CharactersWithSpaces>22151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2021-05-13T09:18:00Z</dcterms:created>
  <dc:creator>user</dc:creator>
  <cp:lastModifiedBy>zyy003</cp:lastModifiedBy>
  <cp:lastPrinted>2024-04-03T02:13:00Z</cp:lastPrinted>
  <dcterms:modified xsi:type="dcterms:W3CDTF">2024-09-09T09:35:07Z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126776CA3A8F4F5AB4F0EAA7ACE8E690</vt:lpwstr>
  </property>
</Properties>
</file>